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D0D" w:rsidRDefault="00E80587">
      <w:pPr>
        <w:autoSpaceDE w:val="0"/>
        <w:autoSpaceDN w:val="0"/>
        <w:adjustRightInd w:val="0"/>
        <w:jc w:val="right"/>
        <w:rPr>
          <w:color w:val="000000"/>
          <w:lang w:eastAsia="en-GB"/>
        </w:rPr>
      </w:pPr>
      <w:bookmarkStart w:id="0" w:name="_GoBack"/>
      <w:bookmarkEnd w:id="0"/>
      <w:r>
        <w:rPr>
          <w:color w:val="000000"/>
          <w:lang w:eastAsia="en-GB"/>
        </w:rPr>
        <w:t xml:space="preserve"> 16/04/2020</w:t>
      </w:r>
    </w:p>
    <w:p w:rsidR="00AD3D0D" w:rsidRDefault="00AD3D0D">
      <w:pPr>
        <w:tabs>
          <w:tab w:val="left" w:pos="0"/>
        </w:tabs>
        <w:autoSpaceDE w:val="0"/>
        <w:autoSpaceDN w:val="0"/>
        <w:adjustRightInd w:val="0"/>
        <w:rPr>
          <w:color w:val="000000"/>
          <w:lang w:eastAsia="en-GB"/>
        </w:rPr>
      </w:pPr>
    </w:p>
    <w:p w:rsidR="00AD3D0D" w:rsidRDefault="00E80587">
      <w:pPr>
        <w:tabs>
          <w:tab w:val="left" w:pos="0"/>
        </w:tabs>
        <w:autoSpaceDE w:val="0"/>
        <w:autoSpaceDN w:val="0"/>
        <w:adjustRightInd w:val="0"/>
      </w:pPr>
      <w:r>
        <w:rPr>
          <w:color w:val="000000"/>
          <w:lang w:eastAsia="en-GB"/>
        </w:rPr>
        <w:t xml:space="preserve">Dear </w:t>
      </w:r>
      <w:r>
        <w:t>Sirs</w:t>
      </w:r>
    </w:p>
    <w:p w:rsidR="00AD3D0D" w:rsidRDefault="00E80587">
      <w:pPr>
        <w:tabs>
          <w:tab w:val="left" w:pos="0"/>
        </w:tabs>
        <w:autoSpaceDE w:val="0"/>
        <w:autoSpaceDN w:val="0"/>
        <w:adjustRightInd w:val="0"/>
        <w:rPr>
          <w:b/>
        </w:rPr>
      </w:pPr>
      <w:r>
        <w:rPr>
          <w:b/>
        </w:rPr>
        <w:t>IMPORTANT INFORMATION ABOUT DAS LEGAL EXPENSES INSURANCE COMPANY LIMITED INSURANCE POLICIES – PLEASE READ CAREFULLY</w:t>
      </w:r>
    </w:p>
    <w:p w:rsidR="00AD3D0D" w:rsidRDefault="00E80587">
      <w:pPr>
        <w:jc w:val="both"/>
        <w:rPr>
          <w:color w:val="000000"/>
          <w:lang w:eastAsia="en-GB"/>
        </w:rPr>
      </w:pPr>
      <w:r>
        <w:t>As you are aware, as part of a strategic reassessment of its business in Ireland, DAS Legal Expenses Insurance Company Limited (</w:t>
      </w:r>
      <w:r>
        <w:rPr>
          <w:b/>
        </w:rPr>
        <w:t>DAS</w:t>
      </w:r>
      <w:r>
        <w:t xml:space="preserve">) has agreed to sell all of the business and assets of its Irish branch (other than Northern Ireland) to ARAG </w:t>
      </w:r>
      <w:proofErr w:type="spellStart"/>
      <w:r>
        <w:t>Allgemeine</w:t>
      </w:r>
      <w:proofErr w:type="spellEnd"/>
      <w:r>
        <w:t xml:space="preserve"> </w:t>
      </w:r>
      <w:proofErr w:type="spellStart"/>
      <w:r>
        <w:t>Versicherungs</w:t>
      </w:r>
      <w:proofErr w:type="spellEnd"/>
      <w:r>
        <w:t>-AG (</w:t>
      </w:r>
      <w:r>
        <w:rPr>
          <w:b/>
        </w:rPr>
        <w:t>ARAG</w:t>
      </w:r>
      <w:r>
        <w:t xml:space="preserve">). The final step of this transaction will be the transfer of all insurance policies written by or on behalf of the Irish branch of DAS (other than these written to policyholders in Northern Ireland) (the </w:t>
      </w:r>
      <w:r>
        <w:rPr>
          <w:b/>
        </w:rPr>
        <w:t>Proposed Transfer</w:t>
      </w:r>
      <w:r>
        <w:t>). This includes policies which you reinsured pursuant to the reinsurance agreement(s) entered into between yourselves and DAS dated [</w:t>
      </w:r>
      <w:r>
        <w:rPr>
          <w:rStyle w:val="Prompt"/>
        </w:rPr>
        <w:sym w:font="Wingdings" w:char="F06C"/>
      </w:r>
      <w:r>
        <w:t xml:space="preserve">] (the </w:t>
      </w:r>
      <w:r>
        <w:rPr>
          <w:b/>
        </w:rPr>
        <w:t>Reinsurance Agreement(s)</w:t>
      </w:r>
      <w:r>
        <w:t xml:space="preserve">).   </w:t>
      </w:r>
    </w:p>
    <w:p w:rsidR="00AD3D0D" w:rsidRDefault="00E80587">
      <w:pPr>
        <w:pStyle w:val="BodyText"/>
      </w:pPr>
      <w:r>
        <w:t xml:space="preserve">As has been discussed, it is proposed that ARAG will replace DAS as the insured under such Reinsurance Agreement. This letter contains important information about the Proposed Transfer, to allow you reasonable time to consider whether you may be adversely affected by the Proposed Transfer. </w:t>
      </w:r>
    </w:p>
    <w:p w:rsidR="00AD3D0D" w:rsidRDefault="00E80587">
      <w:pPr>
        <w:jc w:val="both"/>
        <w:rPr>
          <w:rFonts w:cs="Futura PT Book"/>
          <w:color w:val="000000"/>
          <w:szCs w:val="20"/>
        </w:rPr>
      </w:pPr>
      <w:r>
        <w:rPr>
          <w:rFonts w:cs="Futura PT Book"/>
          <w:color w:val="000000"/>
          <w:szCs w:val="20"/>
        </w:rPr>
        <w:t xml:space="preserve">ARAG carries out general insurance business in Germany including legal expenses business. ARAG is part of the ARAG Group which is a worldwide specialist in legal expense business. ARAG is authorised and regulated by the German insurance regulator, the </w:t>
      </w:r>
      <w:proofErr w:type="spellStart"/>
      <w:r>
        <w:t>Bundesanstalt</w:t>
      </w:r>
      <w:proofErr w:type="spellEnd"/>
      <w:r>
        <w:t xml:space="preserve"> </w:t>
      </w:r>
      <w:proofErr w:type="spellStart"/>
      <w:r>
        <w:t>für</w:t>
      </w:r>
      <w:proofErr w:type="spellEnd"/>
      <w:r>
        <w:t xml:space="preserve"> </w:t>
      </w:r>
      <w:proofErr w:type="spellStart"/>
      <w:r>
        <w:t>Finanzdienstleistungsaufsicht</w:t>
      </w:r>
      <w:proofErr w:type="spellEnd"/>
      <w:r>
        <w:rPr>
          <w:rFonts w:cs="Futura PT Book"/>
          <w:color w:val="000000"/>
          <w:szCs w:val="20"/>
        </w:rPr>
        <w:t xml:space="preserve"> (</w:t>
      </w:r>
      <w:proofErr w:type="spellStart"/>
      <w:r>
        <w:rPr>
          <w:rFonts w:cs="Futura PT Book"/>
          <w:b/>
          <w:color w:val="000000"/>
          <w:szCs w:val="20"/>
        </w:rPr>
        <w:t>BaFin</w:t>
      </w:r>
      <w:proofErr w:type="spellEnd"/>
      <w:r>
        <w:rPr>
          <w:rFonts w:cs="Futura PT Book"/>
          <w:color w:val="000000"/>
          <w:szCs w:val="20"/>
        </w:rPr>
        <w:t xml:space="preserve">). It has a branch in Ireland which is authorised and regulated by </w:t>
      </w:r>
      <w:proofErr w:type="spellStart"/>
      <w:r>
        <w:rPr>
          <w:rFonts w:cs="Futura PT Book"/>
          <w:color w:val="000000"/>
          <w:szCs w:val="20"/>
        </w:rPr>
        <w:t>BaFin</w:t>
      </w:r>
      <w:proofErr w:type="spellEnd"/>
      <w:r>
        <w:rPr>
          <w:rFonts w:cs="Futura PT Book"/>
          <w:color w:val="000000"/>
          <w:szCs w:val="20"/>
        </w:rPr>
        <w:t xml:space="preserve"> following a notification to </w:t>
      </w:r>
      <w:proofErr w:type="spellStart"/>
      <w:r>
        <w:rPr>
          <w:rFonts w:cs="Futura PT Book"/>
          <w:color w:val="000000"/>
          <w:szCs w:val="20"/>
        </w:rPr>
        <w:t>BaFin</w:t>
      </w:r>
      <w:proofErr w:type="spellEnd"/>
      <w:r>
        <w:rPr>
          <w:rFonts w:cs="Futura PT Book"/>
          <w:color w:val="000000"/>
          <w:szCs w:val="20"/>
        </w:rPr>
        <w:t xml:space="preserve"> and the Central Bank of Ireland, the Irish insurance regulator to carry on insurance business in Ireland.</w:t>
      </w:r>
    </w:p>
    <w:p w:rsidR="00AD3D0D" w:rsidRDefault="00E80587">
      <w:pPr>
        <w:jc w:val="both"/>
        <w:rPr>
          <w:b/>
          <w:color w:val="000000"/>
          <w:lang w:eastAsia="en-GB"/>
        </w:rPr>
      </w:pPr>
      <w:r>
        <w:rPr>
          <w:b/>
          <w:color w:val="000000"/>
          <w:lang w:eastAsia="en-GB"/>
        </w:rPr>
        <w:t>Information about the Proposed Transfer</w:t>
      </w:r>
    </w:p>
    <w:p w:rsidR="00AD3D0D" w:rsidRDefault="00E80587">
      <w:pPr>
        <w:tabs>
          <w:tab w:val="left" w:pos="0"/>
        </w:tabs>
        <w:ind w:right="-2"/>
        <w:jc w:val="both"/>
        <w:rPr>
          <w:b/>
          <w:bCs/>
          <w:color w:val="000000"/>
          <w:lang w:eastAsia="en-GB"/>
        </w:rPr>
      </w:pPr>
      <w:r>
        <w:rPr>
          <w:b/>
          <w:color w:val="000000"/>
          <w:lang w:eastAsia="en-GB"/>
        </w:rPr>
        <w:t xml:space="preserve">The Proposed Transfer must be carried out in accordance with Part VII of the UK Financial Services and Markets Act 2000. This requires us to obtain approval from the High Court of England and Wales (the Court). </w:t>
      </w:r>
      <w:r>
        <w:rPr>
          <w:b/>
        </w:rPr>
        <w:t xml:space="preserve">If approved by the Court, it is expected that the Proposed Transfer will take effect on 31 July 2020. </w:t>
      </w:r>
      <w:r>
        <w:rPr>
          <w:b/>
          <w:color w:val="000000"/>
          <w:lang w:eastAsia="en-GB"/>
        </w:rPr>
        <w:t>It is a legal requirement for us to contact you as part of this process. Should you consider that you are adversely affected by the Proposed Transfer or wish to make objections to the Proposed Transfer, you are entitled to make representations to the Court and this letter contains information on how to do so.</w:t>
      </w:r>
    </w:p>
    <w:p w:rsidR="00AD3D0D" w:rsidRDefault="00E80587">
      <w:pPr>
        <w:pStyle w:val="BulletsL1"/>
        <w:numPr>
          <w:ilvl w:val="0"/>
          <w:numId w:val="0"/>
        </w:numPr>
        <w:rPr>
          <w:color w:val="000000"/>
          <w:lang w:eastAsia="en-GB"/>
        </w:rPr>
      </w:pPr>
      <w:r>
        <w:t xml:space="preserve">The Court hearing is due to take place on 28 July 2020 at the </w:t>
      </w:r>
      <w:r>
        <w:rPr>
          <w:b/>
        </w:rPr>
        <w:t xml:space="preserve">High Court of Justice, 7 Rolls Building, </w:t>
      </w:r>
      <w:proofErr w:type="gramStart"/>
      <w:r>
        <w:rPr>
          <w:b/>
        </w:rPr>
        <w:t>Fetter</w:t>
      </w:r>
      <w:proofErr w:type="gramEnd"/>
      <w:r>
        <w:rPr>
          <w:b/>
        </w:rPr>
        <w:t xml:space="preserve"> Lane, London, EC4A 1NL, United Kingdom</w:t>
      </w:r>
      <w:r>
        <w:t xml:space="preserve">.  </w:t>
      </w:r>
      <w:r>
        <w:rPr>
          <w:color w:val="000000"/>
          <w:lang w:eastAsia="en-GB"/>
        </w:rPr>
        <w:t xml:space="preserve">At the hearing, the Court will be asked to order the transfer of the Reinsurance Agreement to </w:t>
      </w:r>
      <w:r>
        <w:rPr>
          <w:spacing w:val="-2"/>
        </w:rPr>
        <w:t xml:space="preserve">ARAG </w:t>
      </w:r>
      <w:r>
        <w:rPr>
          <w:color w:val="000000"/>
          <w:lang w:eastAsia="en-GB"/>
        </w:rPr>
        <w:t>to the extent set out above as part of the Proposed Transfer.</w:t>
      </w:r>
    </w:p>
    <w:p w:rsidR="00AD3D0D" w:rsidRDefault="00E80587">
      <w:pPr>
        <w:pStyle w:val="BodyText"/>
      </w:pPr>
      <w:r>
        <w:t>In light of current government guidelines regarding Covid-19, please note that it is possible that the hearing may take place remotely via Skype or another teleconferencing service. It is requested that anyone intending to attend the hearing (whether in person or via their representative) so informs DAS and ARAG in writing (using the contact details set out above) as soon as possible and preferably before 21 July 2020 to set out the nature of their objection. This will enable DAS and ARAG to provide notification of any changes to the hearing (including any details necessary to attend the hearing if it is to be held remotely) and, where possible, to address any concerns raised in advance of the hearing.</w:t>
      </w:r>
    </w:p>
    <w:p w:rsidR="00AD3D0D" w:rsidRDefault="00AD3D0D">
      <w:pPr>
        <w:keepNext/>
        <w:framePr w:w="567" w:h="283" w:hSpace="227" w:wrap="around" w:vAnchor="text" w:hAnchor="page" w:x="10937" w:y="1"/>
        <w:spacing w:before="0" w:after="0"/>
        <w:rPr>
          <w:sz w:val="12"/>
        </w:rPr>
      </w:pPr>
    </w:p>
    <w:p w:rsidR="00AD3D0D" w:rsidRDefault="00AD3D0D">
      <w:pPr>
        <w:tabs>
          <w:tab w:val="left" w:pos="0"/>
        </w:tabs>
        <w:ind w:right="-2"/>
        <w:jc w:val="both"/>
        <w:rPr>
          <w:color w:val="000000"/>
          <w:lang w:eastAsia="en-GB"/>
        </w:rPr>
      </w:pPr>
    </w:p>
    <w:p w:rsidR="00AD3D0D" w:rsidRDefault="00AD3D0D">
      <w:pPr>
        <w:tabs>
          <w:tab w:val="left" w:pos="0"/>
        </w:tabs>
        <w:ind w:right="-2"/>
        <w:jc w:val="both"/>
        <w:rPr>
          <w:color w:val="000000"/>
          <w:lang w:eastAsia="en-GB"/>
        </w:rPr>
      </w:pPr>
    </w:p>
    <w:p w:rsidR="00AD3D0D" w:rsidRDefault="00E80587">
      <w:pPr>
        <w:tabs>
          <w:tab w:val="left" w:pos="0"/>
        </w:tabs>
        <w:ind w:right="-2"/>
        <w:jc w:val="both"/>
        <w:rPr>
          <w:color w:val="000000"/>
          <w:lang w:eastAsia="en-GB"/>
        </w:rPr>
      </w:pPr>
      <w:r>
        <w:rPr>
          <w:color w:val="000000"/>
          <w:lang w:eastAsia="en-GB"/>
        </w:rPr>
        <w:t xml:space="preserve">An independent expert (the </w:t>
      </w:r>
      <w:r>
        <w:rPr>
          <w:b/>
          <w:color w:val="000000"/>
          <w:lang w:eastAsia="en-GB"/>
        </w:rPr>
        <w:t>Independent Expert</w:t>
      </w:r>
      <w:r>
        <w:rPr>
          <w:color w:val="000000"/>
          <w:lang w:eastAsia="en-GB"/>
        </w:rPr>
        <w:t>) has been appointed to prepare a report on the Proposed Transfer. The Independent Expert has assessed the impact of the Proposed Transfer and has concluded that it will not materially adversely affect the reinsurers of the DAS.</w:t>
      </w:r>
    </w:p>
    <w:p w:rsidR="00AD3D0D" w:rsidRDefault="00E80587">
      <w:pPr>
        <w:tabs>
          <w:tab w:val="left" w:pos="0"/>
        </w:tabs>
        <w:ind w:right="-2"/>
        <w:jc w:val="both"/>
        <w:rPr>
          <w:b/>
          <w:color w:val="000000"/>
          <w:lang w:eastAsia="en-GB"/>
        </w:rPr>
      </w:pPr>
      <w:r>
        <w:rPr>
          <w:b/>
          <w:color w:val="000000"/>
          <w:lang w:eastAsia="en-GB"/>
        </w:rPr>
        <w:t>The Proposal</w:t>
      </w:r>
    </w:p>
    <w:p w:rsidR="00AD3D0D" w:rsidRDefault="00E80587">
      <w:pPr>
        <w:jc w:val="both"/>
        <w:rPr>
          <w:spacing w:val="-2"/>
        </w:rPr>
      </w:pPr>
      <w:r>
        <w:rPr>
          <w:spacing w:val="-2"/>
        </w:rPr>
        <w:t xml:space="preserve">Under the Reinsurance Agreement </w:t>
      </w:r>
      <w:r>
        <w:t>between</w:t>
      </w:r>
      <w:r>
        <w:rPr>
          <w:spacing w:val="-2"/>
        </w:rPr>
        <w:t xml:space="preserve"> DAS and yourselves, you </w:t>
      </w:r>
      <w:r>
        <w:rPr>
          <w:spacing w:val="-4"/>
        </w:rPr>
        <w:t>presently reinsure risks of</w:t>
      </w:r>
      <w:r>
        <w:rPr>
          <w:spacing w:val="-2"/>
        </w:rPr>
        <w:t xml:space="preserve"> DAS</w:t>
      </w:r>
      <w:r>
        <w:rPr>
          <w:spacing w:val="-4"/>
        </w:rPr>
        <w:t xml:space="preserve"> under certain policies that form part of the business to be transferred pursuant to the Proposed Transfer (the </w:t>
      </w:r>
      <w:r>
        <w:rPr>
          <w:b/>
          <w:spacing w:val="-4"/>
        </w:rPr>
        <w:t>Transferring Business</w:t>
      </w:r>
      <w:r>
        <w:rPr>
          <w:spacing w:val="-4"/>
        </w:rPr>
        <w:t xml:space="preserve">). </w:t>
      </w:r>
      <w:r>
        <w:rPr>
          <w:spacing w:val="-2"/>
        </w:rPr>
        <w:t xml:space="preserve">After the Proposed Transfer, ARAG will become the </w:t>
      </w:r>
      <w:proofErr w:type="spellStart"/>
      <w:r>
        <w:rPr>
          <w:spacing w:val="-2"/>
        </w:rPr>
        <w:t>cedant</w:t>
      </w:r>
      <w:proofErr w:type="spellEnd"/>
      <w:r>
        <w:rPr>
          <w:spacing w:val="-2"/>
        </w:rPr>
        <w:t xml:space="preserve"> under the Reinsurance Agreement but only with respect to policies forming part of the </w:t>
      </w:r>
      <w:r>
        <w:rPr>
          <w:spacing w:val="-4"/>
        </w:rPr>
        <w:t>Transferring Business</w:t>
      </w:r>
      <w:r>
        <w:rPr>
          <w:spacing w:val="-2"/>
        </w:rPr>
        <w:t xml:space="preserve">. </w:t>
      </w:r>
    </w:p>
    <w:p w:rsidR="00AD3D0D" w:rsidRDefault="00E80587">
      <w:pPr>
        <w:jc w:val="both"/>
        <w:rPr>
          <w:color w:val="000000"/>
          <w:lang w:eastAsia="en-GB"/>
        </w:rPr>
      </w:pPr>
      <w:r>
        <w:rPr>
          <w:color w:val="000000"/>
          <w:lang w:eastAsia="en-GB"/>
        </w:rPr>
        <w:t xml:space="preserve">The effect of the order is that all rights, benefits and powers conferred on or vested in </w:t>
      </w:r>
      <w:r>
        <w:rPr>
          <w:spacing w:val="-2"/>
        </w:rPr>
        <w:t xml:space="preserve">DAS </w:t>
      </w:r>
      <w:r>
        <w:rPr>
          <w:color w:val="000000"/>
          <w:lang w:eastAsia="en-GB"/>
        </w:rPr>
        <w:t xml:space="preserve">under the Reinsurance Agreement as well as all obligations imposed on </w:t>
      </w:r>
      <w:r>
        <w:rPr>
          <w:spacing w:val="-2"/>
        </w:rPr>
        <w:t>the DAS,</w:t>
      </w:r>
      <w:r>
        <w:rPr>
          <w:color w:val="000000"/>
          <w:lang w:eastAsia="en-GB"/>
        </w:rPr>
        <w:t xml:space="preserve"> in respect of the </w:t>
      </w:r>
      <w:r>
        <w:rPr>
          <w:spacing w:val="-4"/>
        </w:rPr>
        <w:t>Transferring Business</w:t>
      </w:r>
      <w:r>
        <w:rPr>
          <w:color w:val="000000"/>
          <w:lang w:eastAsia="en-GB"/>
        </w:rPr>
        <w:t>, will, without further action and insofar as such rights, benefits, powers and obligations relate to the Transferring Business, be transferred to</w:t>
      </w:r>
      <w:r>
        <w:rPr>
          <w:spacing w:val="-2"/>
        </w:rPr>
        <w:t xml:space="preserve"> ARAG</w:t>
      </w:r>
      <w:r>
        <w:rPr>
          <w:color w:val="000000"/>
          <w:lang w:eastAsia="en-GB"/>
        </w:rPr>
        <w:t xml:space="preserve"> subject to the terms of the Proposed Transfer, as if </w:t>
      </w:r>
      <w:r>
        <w:rPr>
          <w:spacing w:val="-2"/>
        </w:rPr>
        <w:t>ARAG</w:t>
      </w:r>
      <w:r>
        <w:rPr>
          <w:color w:val="000000"/>
          <w:lang w:eastAsia="en-GB"/>
        </w:rPr>
        <w:t xml:space="preserve"> had been the party to the relevant Reinsurance Agreement in respect of the Transferring Business from inception. All references in the Reinsurance Agreement to </w:t>
      </w:r>
      <w:r>
        <w:rPr>
          <w:spacing w:val="-2"/>
        </w:rPr>
        <w:t>DAS</w:t>
      </w:r>
      <w:r>
        <w:rPr>
          <w:color w:val="000000"/>
          <w:lang w:eastAsia="en-GB"/>
        </w:rPr>
        <w:t xml:space="preserve"> and its directors, officers and employees or agents would then be read and construed, to the extent that such references relate to the Transferring Business, as being references to ARAG and its directors, officers and employees or agents. </w:t>
      </w:r>
    </w:p>
    <w:p w:rsidR="00AD3D0D" w:rsidRDefault="00E80587">
      <w:pPr>
        <w:tabs>
          <w:tab w:val="left" w:pos="0"/>
        </w:tabs>
        <w:ind w:right="-2"/>
        <w:jc w:val="both"/>
        <w:rPr>
          <w:color w:val="000000"/>
          <w:lang w:eastAsia="en-GB"/>
        </w:rPr>
      </w:pPr>
      <w:r>
        <w:rPr>
          <w:color w:val="000000"/>
          <w:lang w:eastAsia="en-GB"/>
        </w:rPr>
        <w:t>The terms of the transfer mean that you will not be prejudiced by the Proposed</w:t>
      </w:r>
      <w:r>
        <w:rPr>
          <w:b/>
          <w:color w:val="000000"/>
          <w:lang w:eastAsia="en-GB"/>
        </w:rPr>
        <w:t xml:space="preserve"> </w:t>
      </w:r>
      <w:r>
        <w:rPr>
          <w:color w:val="000000"/>
          <w:lang w:eastAsia="en-GB"/>
        </w:rPr>
        <w:t>Transfer as you will have no greater or lesser liability to</w:t>
      </w:r>
      <w:r>
        <w:rPr>
          <w:spacing w:val="-2"/>
        </w:rPr>
        <w:t xml:space="preserve"> ARAG</w:t>
      </w:r>
      <w:r>
        <w:rPr>
          <w:color w:val="000000"/>
          <w:lang w:eastAsia="en-GB"/>
        </w:rPr>
        <w:t xml:space="preserve"> under the Reinsurance Agreement than you would have had to </w:t>
      </w:r>
      <w:r>
        <w:rPr>
          <w:spacing w:val="-2"/>
        </w:rPr>
        <w:t>DAS</w:t>
      </w:r>
      <w:r>
        <w:rPr>
          <w:color w:val="000000"/>
          <w:lang w:eastAsia="en-GB"/>
        </w:rPr>
        <w:t xml:space="preserve"> under the Reinsurance Agreement in the absence of the Proposed Transfer.</w:t>
      </w:r>
    </w:p>
    <w:p w:rsidR="00AD3D0D" w:rsidRDefault="00E80587">
      <w:pPr>
        <w:tabs>
          <w:tab w:val="left" w:pos="0"/>
        </w:tabs>
        <w:ind w:right="-2"/>
        <w:jc w:val="both"/>
        <w:rPr>
          <w:b/>
          <w:bCs/>
          <w:color w:val="000000"/>
          <w:lang w:eastAsia="en-GB"/>
        </w:rPr>
      </w:pPr>
      <w:r>
        <w:rPr>
          <w:b/>
          <w:bCs/>
          <w:color w:val="000000"/>
          <w:lang w:eastAsia="en-GB"/>
        </w:rPr>
        <w:t>What you need to do</w:t>
      </w:r>
    </w:p>
    <w:p w:rsidR="00AD3D0D" w:rsidRDefault="00E80587">
      <w:pPr>
        <w:tabs>
          <w:tab w:val="left" w:pos="0"/>
        </w:tabs>
        <w:ind w:right="-2"/>
        <w:jc w:val="both"/>
        <w:rPr>
          <w:color w:val="000000"/>
          <w:lang w:eastAsia="en-GB"/>
        </w:rPr>
      </w:pPr>
      <w:r>
        <w:rPr>
          <w:color w:val="000000"/>
          <w:lang w:eastAsia="en-GB"/>
        </w:rPr>
        <w:t>Please carefully read the information we have included with this letter. We have enclosed a booklet containing:</w:t>
      </w:r>
    </w:p>
    <w:p w:rsidR="00AD3D0D" w:rsidRDefault="00E80587">
      <w:pPr>
        <w:pStyle w:val="BulletsL1"/>
      </w:pPr>
      <w:r>
        <w:t>"Questions and Answers" about the Proposed Transfer;</w:t>
      </w:r>
    </w:p>
    <w:p w:rsidR="00AD3D0D" w:rsidRDefault="00E80587">
      <w:pPr>
        <w:pStyle w:val="BulletsL1"/>
      </w:pPr>
      <w:r>
        <w:t xml:space="preserve">a summary of the legal document that sets out the terms of the Proposed Transfer (the </w:t>
      </w:r>
      <w:r>
        <w:rPr>
          <w:b/>
        </w:rPr>
        <w:t>Scheme Document</w:t>
      </w:r>
      <w:r>
        <w:t>);</w:t>
      </w:r>
    </w:p>
    <w:p w:rsidR="00AD3D0D" w:rsidRDefault="00E80587">
      <w:pPr>
        <w:pStyle w:val="BulletsL1"/>
      </w:pPr>
      <w:r>
        <w:t>a summary of the Independent Expert's report; and</w:t>
      </w:r>
    </w:p>
    <w:p w:rsidR="00AD3D0D" w:rsidRDefault="00E80587">
      <w:pPr>
        <w:pStyle w:val="BulletsL1"/>
      </w:pPr>
      <w:r>
        <w:t>a copy of a legal notice setting out details of the Court hearing for the Proposed Transfer,</w:t>
      </w:r>
    </w:p>
    <w:p w:rsidR="00AD3D0D" w:rsidRDefault="00E80587">
      <w:pPr>
        <w:pStyle w:val="BulletsL1"/>
        <w:numPr>
          <w:ilvl w:val="0"/>
          <w:numId w:val="0"/>
        </w:numPr>
        <w:ind w:left="567"/>
      </w:pPr>
      <w:r>
        <w:t>(</w:t>
      </w:r>
      <w:proofErr w:type="gramStart"/>
      <w:r>
        <w:t>the</w:t>
      </w:r>
      <w:proofErr w:type="gramEnd"/>
      <w:r>
        <w:t xml:space="preserve"> </w:t>
      </w:r>
      <w:r>
        <w:rPr>
          <w:b/>
        </w:rPr>
        <w:t>Communication Pack</w:t>
      </w:r>
      <w:r>
        <w:t>).</w:t>
      </w:r>
    </w:p>
    <w:p w:rsidR="00AD3D0D" w:rsidRDefault="00E80587">
      <w:pPr>
        <w:pStyle w:val="BulletsL1"/>
        <w:numPr>
          <w:ilvl w:val="0"/>
          <w:numId w:val="0"/>
        </w:numPr>
        <w:rPr>
          <w:b/>
        </w:rPr>
      </w:pPr>
      <w:r>
        <w:rPr>
          <w:b/>
        </w:rPr>
        <w:t>How to make your views known</w:t>
      </w:r>
    </w:p>
    <w:p w:rsidR="00AD3D0D" w:rsidRDefault="00E80587">
      <w:pPr>
        <w:pStyle w:val="BodyText"/>
      </w:pPr>
      <w:r>
        <w:t xml:space="preserve">If you are comfortable with the Proposed Transfer and the information contained in and included with this letter, you do not need to take any further action. However, should you need any further information or if </w:t>
      </w:r>
    </w:p>
    <w:p w:rsidR="00AD3D0D" w:rsidRDefault="00AD3D0D">
      <w:pPr>
        <w:pStyle w:val="BodyText"/>
      </w:pPr>
    </w:p>
    <w:p w:rsidR="00AD3D0D" w:rsidRDefault="00AD3D0D">
      <w:pPr>
        <w:pStyle w:val="BodyText"/>
      </w:pPr>
    </w:p>
    <w:p w:rsidR="00AD3D0D" w:rsidRDefault="00E80587">
      <w:pPr>
        <w:pStyle w:val="BodyText"/>
      </w:pPr>
      <w:proofErr w:type="gramStart"/>
      <w:r>
        <w:t>you</w:t>
      </w:r>
      <w:proofErr w:type="gramEnd"/>
      <w:r>
        <w:t xml:space="preserve"> have any questions or concerns about the Proposed Transfer or consider that you may be adversely affected then please contact us as soon as possible and preferably no later than 21 July 2020.</w:t>
      </w:r>
    </w:p>
    <w:p w:rsidR="00AD3D0D" w:rsidRDefault="00E80587">
      <w:pPr>
        <w:pStyle w:val="BodyText"/>
      </w:pPr>
      <w:r>
        <w:t>You can:</w:t>
      </w:r>
    </w:p>
    <w:p w:rsidR="00AD3D0D" w:rsidRDefault="00E80587">
      <w:pPr>
        <w:pStyle w:val="BodyText"/>
        <w:numPr>
          <w:ilvl w:val="0"/>
          <w:numId w:val="19"/>
        </w:numPr>
      </w:pPr>
      <w:r>
        <w:t xml:space="preserve">call the helpline </w:t>
      </w:r>
      <w:r>
        <w:rPr>
          <w:rFonts w:cs="Arial"/>
        </w:rPr>
        <w:t xml:space="preserve">at: </w:t>
      </w:r>
    </w:p>
    <w:p w:rsidR="00AD3D0D" w:rsidRDefault="00E80587">
      <w:pPr>
        <w:pStyle w:val="BodyText"/>
        <w:numPr>
          <w:ilvl w:val="0"/>
          <w:numId w:val="21"/>
        </w:numPr>
        <w:ind w:left="1134"/>
      </w:pPr>
      <w:r>
        <w:rPr>
          <w:rFonts w:cs="Arial"/>
        </w:rPr>
        <w:t>Ireland: +353</w:t>
      </w:r>
      <w:r>
        <w:rPr>
          <w:rStyle w:val="Prompt"/>
          <w:color w:val="auto"/>
        </w:rPr>
        <w:t>(0)1 8818080;</w:t>
      </w:r>
      <w:r>
        <w:rPr>
          <w:rFonts w:cs="Arial"/>
        </w:rPr>
        <w:t xml:space="preserve"> or </w:t>
      </w:r>
    </w:p>
    <w:p w:rsidR="00AD3D0D" w:rsidRDefault="00E80587">
      <w:pPr>
        <w:pStyle w:val="BodyText"/>
        <w:numPr>
          <w:ilvl w:val="0"/>
          <w:numId w:val="21"/>
        </w:numPr>
        <w:ind w:left="1134"/>
      </w:pPr>
      <w:r>
        <w:rPr>
          <w:rFonts w:cs="Arial"/>
        </w:rPr>
        <w:t xml:space="preserve">UK: </w:t>
      </w:r>
      <w:r>
        <w:t xml:space="preserve">+44(0)117 934 2000, </w:t>
      </w:r>
    </w:p>
    <w:p w:rsidR="00AD3D0D" w:rsidRDefault="00E80587">
      <w:pPr>
        <w:pStyle w:val="BodyText"/>
        <w:ind w:left="774"/>
      </w:pPr>
      <w:proofErr w:type="gramStart"/>
      <w:r>
        <w:rPr>
          <w:rFonts w:cs="Arial"/>
        </w:rPr>
        <w:t>available</w:t>
      </w:r>
      <w:proofErr w:type="gramEnd"/>
      <w:r>
        <w:rPr>
          <w:rFonts w:cs="Arial"/>
        </w:rPr>
        <w:t xml:space="preserve"> between 9am to 5pm Monday to Friday (excluding public holidays). C</w:t>
      </w:r>
      <w:r>
        <w:t>allers outside of these hours will be able to leave a message and request that their call is returned</w:t>
      </w:r>
      <w:r>
        <w:rPr>
          <w:rFonts w:cs="Arial"/>
        </w:rPr>
        <w:t xml:space="preserve">; </w:t>
      </w:r>
    </w:p>
    <w:p w:rsidR="00AD3D0D" w:rsidRDefault="00E80587">
      <w:pPr>
        <w:pStyle w:val="BodyText"/>
        <w:numPr>
          <w:ilvl w:val="0"/>
          <w:numId w:val="19"/>
        </w:numPr>
        <w:rPr>
          <w:rFonts w:cs="Arial"/>
        </w:rPr>
      </w:pPr>
      <w:r>
        <w:t xml:space="preserve">write to us </w:t>
      </w:r>
      <w:r>
        <w:rPr>
          <w:rFonts w:cs="Arial"/>
        </w:rPr>
        <w:t xml:space="preserve">at: </w:t>
      </w:r>
    </w:p>
    <w:p w:rsidR="00AD3D0D" w:rsidRDefault="00E80587">
      <w:pPr>
        <w:pStyle w:val="BodyText"/>
        <w:numPr>
          <w:ilvl w:val="0"/>
          <w:numId w:val="20"/>
        </w:numPr>
        <w:ind w:left="1134"/>
        <w:rPr>
          <w:rFonts w:cs="Arial"/>
        </w:rPr>
      </w:pPr>
      <w:r>
        <w:rPr>
          <w:rFonts w:cs="Arial"/>
        </w:rPr>
        <w:t xml:space="preserve">Ireland: ARAG Legal Protection, Europa House, Harcourt Centre, Harcourt Street, Dublin D02 WR20, Ireland; or </w:t>
      </w:r>
    </w:p>
    <w:p w:rsidR="00AD3D0D" w:rsidRDefault="00E80587">
      <w:pPr>
        <w:pStyle w:val="BodyText"/>
        <w:numPr>
          <w:ilvl w:val="0"/>
          <w:numId w:val="20"/>
        </w:numPr>
        <w:ind w:left="1134"/>
        <w:rPr>
          <w:rFonts w:cs="Arial"/>
        </w:rPr>
      </w:pPr>
      <w:r>
        <w:rPr>
          <w:rFonts w:cs="Arial"/>
        </w:rPr>
        <w:t xml:space="preserve">UK: DAS Legal Expenses Insurance Company Limited, DAS House, Quay Side, Temple Back, Bristol BS1 6NH, United Kingdom; or </w:t>
      </w:r>
    </w:p>
    <w:p w:rsidR="00AD3D0D" w:rsidRDefault="00E80587">
      <w:pPr>
        <w:pStyle w:val="BodyText"/>
        <w:numPr>
          <w:ilvl w:val="0"/>
          <w:numId w:val="19"/>
        </w:numPr>
      </w:pPr>
      <w:proofErr w:type="gramStart"/>
      <w:r>
        <w:t>e-mail</w:t>
      </w:r>
      <w:proofErr w:type="gramEnd"/>
      <w:r>
        <w:t xml:space="preserve"> us at: </w:t>
      </w:r>
      <w:hyperlink r:id="rId11" w:history="1">
        <w:r>
          <w:rPr>
            <w:rStyle w:val="Hyperlink"/>
          </w:rPr>
          <w:t>customerrelations@das.co.uk</w:t>
        </w:r>
      </w:hyperlink>
      <w:r>
        <w:t xml:space="preserve"> or </w:t>
      </w:r>
      <w:hyperlink r:id="rId12" w:history="1">
        <w:r>
          <w:rPr>
            <w:rStyle w:val="Hyperlink"/>
          </w:rPr>
          <w:t>DASIrelandSale@arag.ie</w:t>
        </w:r>
      </w:hyperlink>
      <w:r>
        <w:rPr>
          <w:i/>
        </w:rPr>
        <w:t xml:space="preserve">. </w:t>
      </w:r>
    </w:p>
    <w:p w:rsidR="00AD3D0D" w:rsidRDefault="00E80587">
      <w:pPr>
        <w:pStyle w:val="BodyText"/>
      </w:pPr>
      <w:r>
        <w:t>For your convenience, this information is also available on our website (</w:t>
      </w:r>
      <w:hyperlink r:id="rId13" w:history="1">
        <w:r>
          <w:rPr>
            <w:rStyle w:val="Hyperlink"/>
          </w:rPr>
          <w:t>www.das.co.uk/arag-transfer</w:t>
        </w:r>
      </w:hyperlink>
      <w:r>
        <w:t>) and the ARAG website (</w:t>
      </w:r>
      <w:hyperlink r:id="rId14" w:history="1">
        <w:r>
          <w:rPr>
            <w:rStyle w:val="Hyperlink"/>
          </w:rPr>
          <w:t>www.arag.ie/DASIrelandSale</w:t>
        </w:r>
      </w:hyperlink>
      <w:r>
        <w:t xml:space="preserve">), together with full copies of the documents that comprise the Communication Pack, the Scheme Document and the Independent Expert’s report. All updates and details about the progress of the Proposed Transfer, including any supplemental Independent Expert's report that may be prepared prior to the Court hearing, will also be posted on the websites listed above.  </w:t>
      </w:r>
    </w:p>
    <w:p w:rsidR="00AD3D0D" w:rsidRDefault="00AD3D0D">
      <w:pPr>
        <w:pStyle w:val="BodyText"/>
        <w:keepNext/>
      </w:pPr>
    </w:p>
    <w:p w:rsidR="00AD3D0D" w:rsidRDefault="00E80587">
      <w:pPr>
        <w:pStyle w:val="BodyText"/>
        <w:keepNext/>
      </w:pPr>
      <w:r>
        <w:t xml:space="preserve">Yours faithfully, </w:t>
      </w:r>
    </w:p>
    <w:p w:rsidR="00AD3D0D" w:rsidRDefault="00E80587">
      <w:pPr>
        <w:pStyle w:val="BodyText"/>
        <w:keepNext/>
      </w:pPr>
      <w:r>
        <w:rPr>
          <w:noProof/>
          <w:lang w:eastAsia="en-GB"/>
        </w:rPr>
        <w:drawing>
          <wp:inline distT="0" distB="0" distL="0" distR="0">
            <wp:extent cx="1054628" cy="387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drew Signatur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62987" cy="390420"/>
                    </a:xfrm>
                    <a:prstGeom prst="rect">
                      <a:avLst/>
                    </a:prstGeom>
                  </pic:spPr>
                </pic:pic>
              </a:graphicData>
            </a:graphic>
          </wp:inline>
        </w:drawing>
      </w:r>
    </w:p>
    <w:p w:rsidR="00AD3D0D" w:rsidRDefault="00E80587">
      <w:pPr>
        <w:pStyle w:val="BodyText"/>
        <w:keepNext/>
        <w:tabs>
          <w:tab w:val="left" w:pos="5103"/>
        </w:tabs>
        <w:spacing w:after="120"/>
      </w:pPr>
      <w:r>
        <w:t>Andrew Burke CEO</w:t>
      </w:r>
      <w:r>
        <w:tab/>
      </w:r>
    </w:p>
    <w:p w:rsidR="00AD3D0D" w:rsidRDefault="00E80587">
      <w:pPr>
        <w:pStyle w:val="BodyText"/>
        <w:tabs>
          <w:tab w:val="left" w:pos="5103"/>
        </w:tabs>
        <w:spacing w:after="120"/>
      </w:pPr>
      <w:r>
        <w:t>For and on behalf of</w:t>
      </w:r>
      <w:r>
        <w:tab/>
      </w:r>
    </w:p>
    <w:p w:rsidR="00AD3D0D" w:rsidRDefault="00E80587">
      <w:pPr>
        <w:pStyle w:val="BodyText"/>
        <w:keepNext/>
        <w:tabs>
          <w:tab w:val="left" w:pos="5103"/>
        </w:tabs>
        <w:spacing w:after="0"/>
        <w:rPr>
          <w:b/>
        </w:rPr>
      </w:pPr>
      <w:r>
        <w:rPr>
          <w:b/>
        </w:rPr>
        <w:t xml:space="preserve">DAS Legal Expenses                                                       </w:t>
      </w:r>
    </w:p>
    <w:p w:rsidR="00AD3D0D" w:rsidRDefault="00E80587">
      <w:pPr>
        <w:pStyle w:val="BodyText"/>
        <w:keepNext/>
        <w:tabs>
          <w:tab w:val="left" w:pos="5103"/>
        </w:tabs>
        <w:spacing w:after="0"/>
      </w:pPr>
      <w:r>
        <w:rPr>
          <w:b/>
        </w:rPr>
        <w:t xml:space="preserve">Insurance Company Limited                                         </w:t>
      </w:r>
    </w:p>
    <w:sectPr w:rsidR="00AD3D0D">
      <w:headerReference w:type="even" r:id="rId16"/>
      <w:headerReference w:type="default" r:id="rId17"/>
      <w:footerReference w:type="even" r:id="rId18"/>
      <w:footerReference w:type="default" r:id="rId19"/>
      <w:headerReference w:type="first" r:id="rId20"/>
      <w:footerReference w:type="first" r:id="rId21"/>
      <w:pgSz w:w="11900" w:h="16820"/>
      <w:pgMar w:top="2224" w:right="1440" w:bottom="1728" w:left="1094"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EBC" w:rsidRDefault="00784EBC">
      <w:pPr>
        <w:spacing w:after="0"/>
      </w:pPr>
      <w:r>
        <w:separator/>
      </w:r>
    </w:p>
  </w:endnote>
  <w:endnote w:type="continuationSeparator" w:id="0">
    <w:p w:rsidR="00784EBC" w:rsidRDefault="00784E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utura PT Book">
    <w:altName w:val="Futura PT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D0D" w:rsidRDefault="00AD3D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D0D" w:rsidRDefault="00784EBC">
    <w:pPr>
      <w:pStyle w:val="Footer"/>
      <w:spacing w:before="560"/>
      <w:jc w:val="center"/>
    </w:pPr>
    <w:sdt>
      <w:sdtPr>
        <w:id w:val="1831708898"/>
        <w:docPartObj>
          <w:docPartGallery w:val="Page Numbers (Bottom of Page)"/>
          <w:docPartUnique/>
        </w:docPartObj>
      </w:sdtPr>
      <w:sdtEndPr>
        <w:rPr>
          <w:noProof/>
        </w:rPr>
      </w:sdtEndPr>
      <w:sdtContent>
        <w:r w:rsidR="00E80587">
          <w:rPr>
            <w:noProof/>
            <w:lang w:eastAsia="en-GB"/>
          </w:rPr>
          <w:drawing>
            <wp:inline distT="0" distB="0" distL="0" distR="0">
              <wp:extent cx="5947410" cy="4667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7410" cy="466725"/>
                      </a:xfrm>
                      <a:prstGeom prst="rect">
                        <a:avLst/>
                      </a:prstGeom>
                    </pic:spPr>
                  </pic:pic>
                </a:graphicData>
              </a:graphic>
            </wp:inline>
          </w:drawing>
        </w:r>
        <w:r w:rsidR="00E80587">
          <w:fldChar w:fldCharType="begin"/>
        </w:r>
        <w:r w:rsidR="00E80587">
          <w:instrText xml:space="preserve"> PAGE   \* MERGEFORMAT </w:instrText>
        </w:r>
        <w:r w:rsidR="00E80587">
          <w:fldChar w:fldCharType="separate"/>
        </w:r>
        <w:r w:rsidR="000048E3">
          <w:rPr>
            <w:noProof/>
          </w:rPr>
          <w:t>3</w:t>
        </w:r>
        <w:r w:rsidR="00E80587">
          <w:rPr>
            <w:noProof/>
          </w:rPr>
          <w:fldChar w:fldCharType="end"/>
        </w:r>
      </w:sdtContent>
    </w:sdt>
  </w:p>
  <w:p w:rsidR="00AD3D0D" w:rsidRDefault="00AD3D0D">
    <w:pPr>
      <w:pStyle w:val="Footer"/>
      <w:spacing w:before="5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D0D" w:rsidRDefault="00784EBC">
    <w:pPr>
      <w:pStyle w:val="Footer"/>
      <w:spacing w:before="560"/>
      <w:jc w:val="center"/>
    </w:pPr>
    <w:sdt>
      <w:sdtPr>
        <w:id w:val="-464587820"/>
        <w:docPartObj>
          <w:docPartGallery w:val="Page Numbers (Bottom of Page)"/>
          <w:docPartUnique/>
        </w:docPartObj>
      </w:sdtPr>
      <w:sdtEndPr>
        <w:rPr>
          <w:noProof/>
        </w:rPr>
      </w:sdtEndPr>
      <w:sdtContent>
        <w:r w:rsidR="00E80587">
          <w:rPr>
            <w:noProof/>
            <w:lang w:eastAsia="en-GB"/>
          </w:rPr>
          <w:drawing>
            <wp:inline distT="0" distB="0" distL="0" distR="0">
              <wp:extent cx="5947410" cy="466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7410" cy="466725"/>
                      </a:xfrm>
                      <a:prstGeom prst="rect">
                        <a:avLst/>
                      </a:prstGeom>
                    </pic:spPr>
                  </pic:pic>
                </a:graphicData>
              </a:graphic>
            </wp:inline>
          </w:drawing>
        </w:r>
        <w:r w:rsidR="00E80587">
          <w:fldChar w:fldCharType="begin"/>
        </w:r>
        <w:r w:rsidR="00E80587">
          <w:instrText xml:space="preserve"> PAGE   \* MERGEFORMAT </w:instrText>
        </w:r>
        <w:r w:rsidR="00E80587">
          <w:fldChar w:fldCharType="separate"/>
        </w:r>
        <w:r w:rsidR="000048E3">
          <w:rPr>
            <w:noProof/>
          </w:rPr>
          <w:t>1</w:t>
        </w:r>
        <w:r w:rsidR="00E80587">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EBC" w:rsidRDefault="00784EBC">
      <w:pPr>
        <w:spacing w:after="0"/>
      </w:pPr>
      <w:r>
        <w:separator/>
      </w:r>
    </w:p>
  </w:footnote>
  <w:footnote w:type="continuationSeparator" w:id="0">
    <w:p w:rsidR="00784EBC" w:rsidRDefault="00784EB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D0D" w:rsidRDefault="00AD3D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D0D" w:rsidRDefault="00E80587">
    <w:pPr>
      <w:pStyle w:val="Header"/>
    </w:pPr>
    <w:r>
      <w:rPr>
        <w:b/>
        <w:i/>
        <w:noProof/>
        <w:lang w:eastAsia="en-GB"/>
      </w:rPr>
      <w:drawing>
        <wp:anchor distT="0" distB="0" distL="114300" distR="114300" simplePos="0" relativeHeight="251661824" behindDoc="1" locked="0" layoutInCell="1" allowOverlap="1">
          <wp:simplePos x="0" y="0"/>
          <wp:positionH relativeFrom="page">
            <wp:posOffset>-10160</wp:posOffset>
          </wp:positionH>
          <wp:positionV relativeFrom="page">
            <wp:posOffset>530860</wp:posOffset>
          </wp:positionV>
          <wp:extent cx="7560945" cy="965200"/>
          <wp:effectExtent l="0" t="0" r="1905" b="6350"/>
          <wp:wrapNone/>
          <wp:docPr id="2" name="Picture 2" descr="10024_DAS_Pension_Fund_Trustee_(Bristol)_Letterhead_June13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24_DAS_Pension_Fund_Trustee_(Bristol)_Letterhead_June13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965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extent cx="882650" cy="882650"/>
          <wp:effectExtent l="0" t="0" r="0" b="0"/>
          <wp:docPr id="4" name="Picture 4" descr="ARAG_LogoM_CMY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AG_LogoM_CMY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D0D" w:rsidRDefault="00E80587">
    <w:pPr>
      <w:pStyle w:val="Header"/>
      <w:tabs>
        <w:tab w:val="clear" w:pos="4513"/>
        <w:tab w:val="clear" w:pos="9026"/>
        <w:tab w:val="left" w:pos="2270"/>
      </w:tabs>
    </w:pPr>
    <w:r>
      <w:rPr>
        <w:b/>
        <w:i/>
        <w:noProof/>
        <w:lang w:eastAsia="en-GB"/>
      </w:rPr>
      <w:drawing>
        <wp:anchor distT="0" distB="0" distL="114300" distR="114300" simplePos="0" relativeHeight="251657728" behindDoc="1" locked="0" layoutInCell="1" allowOverlap="1">
          <wp:simplePos x="0" y="0"/>
          <wp:positionH relativeFrom="page">
            <wp:posOffset>-16510</wp:posOffset>
          </wp:positionH>
          <wp:positionV relativeFrom="page">
            <wp:posOffset>518160</wp:posOffset>
          </wp:positionV>
          <wp:extent cx="7560945" cy="965200"/>
          <wp:effectExtent l="0" t="0" r="1905" b="6350"/>
          <wp:wrapNone/>
          <wp:docPr id="3" name="Picture 3" descr="10024_DAS_Pension_Fund_Trustee_(Bristol)_Letterhead_June13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24_DAS_Pension_Fund_Trustee_(Bristol)_Letterhead_June13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965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extent cx="882650" cy="882650"/>
          <wp:effectExtent l="0" t="0" r="0" b="0"/>
          <wp:docPr id="10" name="Picture 10" descr="ARAG_LogoM_CMY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AG_LogoM_CMY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22C8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63A15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622829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01617D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55A63C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74AD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E4E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CAE7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8C54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04C4F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4B591C"/>
    <w:multiLevelType w:val="hybridMultilevel"/>
    <w:tmpl w:val="27EE415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4C6DD0"/>
    <w:multiLevelType w:val="hybridMultilevel"/>
    <w:tmpl w:val="204AF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542A80"/>
    <w:multiLevelType w:val="hybridMultilevel"/>
    <w:tmpl w:val="7768573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0521604"/>
    <w:multiLevelType w:val="hybridMultilevel"/>
    <w:tmpl w:val="26D4DE44"/>
    <w:name w:val="Parties"/>
    <w:lvl w:ilvl="0" w:tplc="7478ACE0">
      <w:start w:val="1"/>
      <w:numFmt w:val="decimal"/>
      <w:pStyle w:val="PartiesNumbered"/>
      <w:lvlText w:val="(%1)"/>
      <w:lvlJc w:val="left"/>
      <w:pPr>
        <w:ind w:left="567" w:hanging="567"/>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9483CD2"/>
    <w:multiLevelType w:val="hybridMultilevel"/>
    <w:tmpl w:val="27EE415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540FE3"/>
    <w:multiLevelType w:val="hybridMultilevel"/>
    <w:tmpl w:val="49826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801B0D"/>
    <w:multiLevelType w:val="hybridMultilevel"/>
    <w:tmpl w:val="27EE415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E86775"/>
    <w:multiLevelType w:val="multilevel"/>
    <w:tmpl w:val="69D48782"/>
    <w:name w:val="Bullets.-415376531-F"/>
    <w:styleLink w:val="BulletsList"/>
    <w:lvl w:ilvl="0">
      <w:start w:val="1"/>
      <w:numFmt w:val="bullet"/>
      <w:lvlRestart w:val="0"/>
      <w:pStyle w:val="BulletsL1"/>
      <w:lvlText w:val="·"/>
      <w:lvlJc w:val="left"/>
      <w:pPr>
        <w:tabs>
          <w:tab w:val="num" w:pos="567"/>
        </w:tabs>
        <w:ind w:left="567" w:hanging="567"/>
      </w:pPr>
      <w:rPr>
        <w:rFonts w:ascii="Symbol" w:hAnsi="Symbol" w:hint="default"/>
        <w:b w:val="0"/>
        <w:i w:val="0"/>
        <w:caps w:val="0"/>
        <w:smallCaps w:val="0"/>
        <w:sz w:val="20"/>
        <w:u w:val="none"/>
      </w:rPr>
    </w:lvl>
    <w:lvl w:ilvl="1">
      <w:start w:val="1"/>
      <w:numFmt w:val="bullet"/>
      <w:lvlRestart w:val="0"/>
      <w:pStyle w:val="BulletsL2"/>
      <w:lvlText w:val="·"/>
      <w:lvlJc w:val="left"/>
      <w:pPr>
        <w:tabs>
          <w:tab w:val="num" w:pos="1134"/>
        </w:tabs>
        <w:ind w:left="1134" w:hanging="567"/>
      </w:pPr>
      <w:rPr>
        <w:rFonts w:ascii="Symbol" w:hAnsi="Symbol" w:hint="default"/>
        <w:b w:val="0"/>
        <w:i w:val="0"/>
        <w:caps w:val="0"/>
        <w:smallCaps w:val="0"/>
        <w:sz w:val="20"/>
        <w:u w:val="none"/>
      </w:rPr>
    </w:lvl>
    <w:lvl w:ilvl="2">
      <w:start w:val="1"/>
      <w:numFmt w:val="bullet"/>
      <w:lvlRestart w:val="0"/>
      <w:pStyle w:val="BulletsL3"/>
      <w:lvlText w:val="·"/>
      <w:lvlJc w:val="left"/>
      <w:pPr>
        <w:tabs>
          <w:tab w:val="num" w:pos="1701"/>
        </w:tabs>
        <w:ind w:left="1701" w:hanging="567"/>
      </w:pPr>
      <w:rPr>
        <w:rFonts w:ascii="Symbol" w:hAnsi="Symbol" w:hint="default"/>
        <w:b w:val="0"/>
        <w:i w:val="0"/>
        <w:caps w:val="0"/>
        <w:smallCaps w:val="0"/>
        <w:sz w:val="20"/>
        <w:u w:val="none"/>
      </w:rPr>
    </w:lvl>
    <w:lvl w:ilvl="3">
      <w:start w:val="1"/>
      <w:numFmt w:val="bullet"/>
      <w:lvlRestart w:val="0"/>
      <w:pStyle w:val="BulletsL4"/>
      <w:lvlText w:val="·"/>
      <w:lvlJc w:val="left"/>
      <w:pPr>
        <w:tabs>
          <w:tab w:val="num" w:pos="2268"/>
        </w:tabs>
        <w:ind w:left="2268" w:hanging="567"/>
      </w:pPr>
      <w:rPr>
        <w:rFonts w:ascii="Symbol" w:hAnsi="Symbol" w:hint="default"/>
        <w:b w:val="0"/>
        <w:i w:val="0"/>
        <w:caps w:val="0"/>
        <w:smallCaps w:val="0"/>
        <w:sz w:val="20"/>
        <w:u w:val="none"/>
      </w:rPr>
    </w:lvl>
    <w:lvl w:ilvl="4">
      <w:start w:val="1"/>
      <w:numFmt w:val="bullet"/>
      <w:lvlRestart w:val="0"/>
      <w:pStyle w:val="BulletsL5"/>
      <w:lvlText w:val="·"/>
      <w:lvlJc w:val="left"/>
      <w:pPr>
        <w:tabs>
          <w:tab w:val="num" w:pos="2835"/>
        </w:tabs>
        <w:ind w:left="2835" w:hanging="567"/>
      </w:pPr>
      <w:rPr>
        <w:rFonts w:ascii="Symbol" w:hAnsi="Symbol" w:hint="default"/>
        <w:b w:val="0"/>
        <w:i w:val="0"/>
        <w:caps w:val="0"/>
        <w:smallCaps w:val="0"/>
        <w:sz w:val="20"/>
        <w:u w:val="none"/>
      </w:rPr>
    </w:lvl>
    <w:lvl w:ilvl="5">
      <w:start w:val="1"/>
      <w:numFmt w:val="bullet"/>
      <w:lvlRestart w:val="0"/>
      <w:pStyle w:val="BulletsL6"/>
      <w:lvlText w:val="·"/>
      <w:lvlJc w:val="left"/>
      <w:pPr>
        <w:tabs>
          <w:tab w:val="num" w:pos="3402"/>
        </w:tabs>
        <w:ind w:left="3402" w:hanging="567"/>
      </w:pPr>
      <w:rPr>
        <w:rFonts w:ascii="Symbol" w:hAnsi="Symbol" w:hint="default"/>
        <w:b w:val="0"/>
        <w:i w:val="0"/>
        <w:caps w:val="0"/>
        <w:smallCaps w:val="0"/>
        <w:sz w:val="20"/>
        <w:u w:val="none"/>
      </w:rPr>
    </w:lvl>
    <w:lvl w:ilvl="6">
      <w:start w:val="1"/>
      <w:numFmt w:val="bullet"/>
      <w:lvlRestart w:val="0"/>
      <w:pStyle w:val="BulletsL7"/>
      <w:lvlText w:val="·"/>
      <w:lvlJc w:val="left"/>
      <w:pPr>
        <w:tabs>
          <w:tab w:val="num" w:pos="3969"/>
        </w:tabs>
        <w:ind w:left="3969" w:hanging="567"/>
      </w:pPr>
      <w:rPr>
        <w:rFonts w:ascii="Symbol" w:hAnsi="Symbol" w:hint="default"/>
        <w:b w:val="0"/>
        <w:i w:val="0"/>
        <w:caps w:val="0"/>
        <w:smallCaps w:val="0"/>
        <w:sz w:val="20"/>
        <w:u w:val="none"/>
      </w:rPr>
    </w:lvl>
    <w:lvl w:ilvl="7">
      <w:start w:val="1"/>
      <w:numFmt w:val="bullet"/>
      <w:lvlRestart w:val="0"/>
      <w:pStyle w:val="BulletsL8"/>
      <w:lvlText w:val="·"/>
      <w:lvlJc w:val="left"/>
      <w:pPr>
        <w:tabs>
          <w:tab w:val="num" w:pos="4535"/>
        </w:tabs>
        <w:ind w:left="4535" w:hanging="566"/>
      </w:pPr>
      <w:rPr>
        <w:rFonts w:ascii="Symbol" w:hAnsi="Symbol" w:hint="default"/>
        <w:b w:val="0"/>
        <w:i w:val="0"/>
        <w:caps w:val="0"/>
        <w:smallCaps w:val="0"/>
        <w:sz w:val="20"/>
        <w:u w:val="none"/>
      </w:rPr>
    </w:lvl>
    <w:lvl w:ilvl="8">
      <w:start w:val="1"/>
      <w:numFmt w:val="bullet"/>
      <w:lvlRestart w:val="0"/>
      <w:pStyle w:val="BulletsL9"/>
      <w:lvlText w:val="·"/>
      <w:lvlJc w:val="left"/>
      <w:pPr>
        <w:tabs>
          <w:tab w:val="num" w:pos="5102"/>
        </w:tabs>
        <w:ind w:left="5102" w:hanging="567"/>
      </w:pPr>
      <w:rPr>
        <w:rFonts w:ascii="Symbol" w:hAnsi="Symbol" w:hint="default"/>
        <w:b w:val="0"/>
        <w:i w:val="0"/>
        <w:caps w:val="0"/>
        <w:smallCaps w:val="0"/>
        <w:sz w:val="20"/>
        <w:u w:val="none"/>
      </w:rPr>
    </w:lvl>
  </w:abstractNum>
  <w:abstractNum w:abstractNumId="18" w15:restartNumberingAfterBreak="0">
    <w:nsid w:val="69F06850"/>
    <w:multiLevelType w:val="hybridMultilevel"/>
    <w:tmpl w:val="3B78C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0B2D74"/>
    <w:multiLevelType w:val="hybridMultilevel"/>
    <w:tmpl w:val="113A64F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3"/>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0"/>
  </w:num>
  <w:num w:numId="18">
    <w:abstractNumId w:val="16"/>
  </w:num>
  <w:num w:numId="19">
    <w:abstractNumId w:val="18"/>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D0D"/>
    <w:rsid w:val="000048E3"/>
    <w:rsid w:val="00784EBC"/>
    <w:rsid w:val="00AD3D0D"/>
    <w:rsid w:val="00E80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8DD7AF-89D2-4758-8CAD-5E2253F8F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29" w:unhideWhenUsed="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NAHardy Letter Text"/>
    <w:uiPriority w:val="29"/>
    <w:unhideWhenUsed/>
    <w:qFormat/>
    <w:pPr>
      <w:spacing w:before="240" w:after="240" w:line="240" w:lineRule="auto"/>
    </w:pPr>
    <w:rPr>
      <w:rFonts w:ascii="Arial" w:hAnsi="Arial"/>
      <w:sz w:val="20"/>
    </w:rPr>
  </w:style>
  <w:style w:type="paragraph" w:styleId="Heading1">
    <w:name w:val="heading 1"/>
    <w:basedOn w:val="Normal"/>
    <w:next w:val="Normal"/>
    <w:link w:val="Heading1Char"/>
    <w:uiPriority w:val="99"/>
    <w:semiHidden/>
    <w:unhideWhenUs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semiHidden/>
    <w:unhideWhenUs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semiHidden/>
    <w:unhideWhenUs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semiHidden/>
    <w:unhideWhenUs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semiHidden/>
    <w:unhideWhenUse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semiHidden/>
    <w:unhideWhenUse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semiHidden/>
    <w:unhideWhenUs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9"/>
    <w:semiHidden/>
    <w:unhideWhenUsed/>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next w:val="Normal"/>
    <w:link w:val="TitleChar"/>
    <w:uiPriority w:val="99"/>
    <w:semiHidden/>
    <w:unhideWhenUsed/>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character" w:customStyle="1" w:styleId="Prompt">
    <w:name w:val="Prompt"/>
    <w:uiPriority w:val="29"/>
    <w:qFormat/>
    <w:rPr>
      <w:color w:val="0000FF"/>
    </w:rPr>
  </w:style>
  <w:style w:type="paragraph" w:customStyle="1" w:styleId="BodyText">
    <w:name w:val="#BodyText"/>
    <w:basedOn w:val="Normal"/>
    <w:qFormat/>
    <w:pPr>
      <w:spacing w:before="0"/>
      <w:jc w:val="both"/>
    </w:pPr>
    <w:rPr>
      <w:rFonts w:eastAsia="Times New Roman" w:cs="Times New Roman"/>
      <w:szCs w:val="20"/>
      <w:lang w:eastAsia="en-CA"/>
    </w:rPr>
  </w:style>
  <w:style w:type="character" w:styleId="Hyperlink">
    <w:name w:val="Hyperlink"/>
    <w:basedOn w:val="DefaultParagraphFont"/>
    <w:uiPriority w:val="99"/>
    <w:semiHidden/>
    <w:unhideWhenUsed/>
    <w:rPr>
      <w:color w:val="0000FF" w:themeColor="hyperlink"/>
      <w:u w:val="single"/>
    </w:rPr>
  </w:style>
  <w:style w:type="paragraph" w:customStyle="1" w:styleId="BulletsL1">
    <w:name w:val="Bullets_L1"/>
    <w:basedOn w:val="BodyText"/>
    <w:uiPriority w:val="49"/>
    <w:qFormat/>
    <w:pPr>
      <w:numPr>
        <w:numId w:val="1"/>
      </w:numPr>
    </w:pPr>
    <w:rPr>
      <w:rFonts w:cs="Arial"/>
    </w:rPr>
  </w:style>
  <w:style w:type="paragraph" w:customStyle="1" w:styleId="BulletsL2">
    <w:name w:val="Bullets_L2"/>
    <w:basedOn w:val="BodyText"/>
    <w:uiPriority w:val="49"/>
    <w:qFormat/>
    <w:pPr>
      <w:numPr>
        <w:ilvl w:val="1"/>
        <w:numId w:val="1"/>
      </w:numPr>
    </w:pPr>
    <w:rPr>
      <w:rFonts w:cs="Arial"/>
    </w:rPr>
  </w:style>
  <w:style w:type="paragraph" w:customStyle="1" w:styleId="BulletsL3">
    <w:name w:val="Bullets_L3"/>
    <w:basedOn w:val="BodyText"/>
    <w:uiPriority w:val="49"/>
    <w:qFormat/>
    <w:pPr>
      <w:numPr>
        <w:ilvl w:val="2"/>
        <w:numId w:val="1"/>
      </w:numPr>
    </w:pPr>
    <w:rPr>
      <w:rFonts w:cs="Arial"/>
    </w:rPr>
  </w:style>
  <w:style w:type="paragraph" w:customStyle="1" w:styleId="BulletsL4">
    <w:name w:val="Bullets_L4"/>
    <w:basedOn w:val="BodyText"/>
    <w:uiPriority w:val="49"/>
    <w:qFormat/>
    <w:pPr>
      <w:numPr>
        <w:ilvl w:val="3"/>
        <w:numId w:val="1"/>
      </w:numPr>
    </w:pPr>
    <w:rPr>
      <w:rFonts w:cs="Arial"/>
    </w:rPr>
  </w:style>
  <w:style w:type="paragraph" w:customStyle="1" w:styleId="BulletsL5">
    <w:name w:val="Bullets_L5"/>
    <w:basedOn w:val="BodyText"/>
    <w:uiPriority w:val="49"/>
    <w:qFormat/>
    <w:pPr>
      <w:numPr>
        <w:ilvl w:val="4"/>
        <w:numId w:val="1"/>
      </w:numPr>
    </w:pPr>
    <w:rPr>
      <w:rFonts w:cs="Arial"/>
    </w:rPr>
  </w:style>
  <w:style w:type="paragraph" w:customStyle="1" w:styleId="BulletsL6">
    <w:name w:val="Bullets_L6"/>
    <w:basedOn w:val="BodyText"/>
    <w:uiPriority w:val="49"/>
    <w:qFormat/>
    <w:pPr>
      <w:numPr>
        <w:ilvl w:val="5"/>
        <w:numId w:val="1"/>
      </w:numPr>
    </w:pPr>
    <w:rPr>
      <w:rFonts w:cs="Arial"/>
    </w:rPr>
  </w:style>
  <w:style w:type="paragraph" w:customStyle="1" w:styleId="BulletsL7">
    <w:name w:val="Bullets_L7"/>
    <w:basedOn w:val="BodyText"/>
    <w:uiPriority w:val="49"/>
    <w:qFormat/>
    <w:pPr>
      <w:numPr>
        <w:ilvl w:val="6"/>
        <w:numId w:val="1"/>
      </w:numPr>
    </w:pPr>
    <w:rPr>
      <w:rFonts w:cs="Arial"/>
    </w:rPr>
  </w:style>
  <w:style w:type="paragraph" w:customStyle="1" w:styleId="BulletsL8">
    <w:name w:val="Bullets_L8"/>
    <w:basedOn w:val="BodyText"/>
    <w:uiPriority w:val="49"/>
    <w:qFormat/>
    <w:pPr>
      <w:numPr>
        <w:ilvl w:val="7"/>
        <w:numId w:val="1"/>
      </w:numPr>
      <w:ind w:hanging="567"/>
    </w:pPr>
    <w:rPr>
      <w:rFonts w:cs="Arial"/>
    </w:rPr>
  </w:style>
  <w:style w:type="paragraph" w:customStyle="1" w:styleId="BulletsL9">
    <w:name w:val="Bullets_L9"/>
    <w:basedOn w:val="BodyText"/>
    <w:uiPriority w:val="49"/>
    <w:qFormat/>
    <w:pPr>
      <w:numPr>
        <w:ilvl w:val="8"/>
        <w:numId w:val="1"/>
      </w:numPr>
    </w:pPr>
    <w:rPr>
      <w:rFonts w:cs="Arial"/>
    </w:rPr>
  </w:style>
  <w:style w:type="numbering" w:customStyle="1" w:styleId="BulletsList">
    <w:name w:val="Bullets. List"/>
    <w:basedOn w:val="NoList"/>
    <w:pPr>
      <w:numPr>
        <w:numId w:val="1"/>
      </w:numPr>
    </w:pPr>
  </w:style>
  <w:style w:type="paragraph" w:customStyle="1" w:styleId="PartiesNumbered">
    <w:name w:val="*Parties=Numbered"/>
    <w:basedOn w:val="Normal"/>
    <w:uiPriority w:val="6"/>
    <w:qFormat/>
    <w:pPr>
      <w:numPr>
        <w:numId w:val="4"/>
      </w:numPr>
      <w:spacing w:before="0" w:line="360" w:lineRule="auto"/>
      <w:jc w:val="both"/>
    </w:pPr>
    <w:rPr>
      <w:rFonts w:eastAsia="Times New Roman" w:cs="Times New Roman"/>
      <w:szCs w:val="20"/>
      <w:lang w:eastAsia="en-CA"/>
    </w:rPr>
  </w:style>
  <w:style w:type="paragraph" w:customStyle="1" w:styleId="DocsID">
    <w:name w:val="DocsID"/>
    <w:basedOn w:val="Normal"/>
    <w:uiPriority w:val="29"/>
    <w:qFormat/>
    <w:pPr>
      <w:spacing w:before="20" w:after="0"/>
    </w:pPr>
    <w:rPr>
      <w:rFonts w:eastAsia="Times New Roman" w:cs="Times New Roman"/>
      <w:sz w:val="16"/>
      <w:szCs w:val="20"/>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BodyText0">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0"/>
    <w:uiPriority w:val="99"/>
    <w:semiHidden/>
    <w:rPr>
      <w:rFonts w:ascii="Arial" w:hAnsi="Arial"/>
      <w:sz w:val="20"/>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Arial" w:hAnsi="Arial"/>
      <w:sz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Arial" w:hAnsi="Arial"/>
      <w:sz w:val="16"/>
      <w:szCs w:val="16"/>
    </w:rPr>
  </w:style>
  <w:style w:type="paragraph" w:styleId="BodyTextFirstIndent">
    <w:name w:val="Body Text First Indent"/>
    <w:basedOn w:val="BodyText0"/>
    <w:link w:val="BodyTextFirstIndentChar"/>
    <w:uiPriority w:val="99"/>
    <w:semiHidden/>
    <w:unhideWhenUsed/>
    <w:pPr>
      <w:spacing w:after="240"/>
      <w:ind w:firstLine="360"/>
    </w:pPr>
  </w:style>
  <w:style w:type="character" w:customStyle="1" w:styleId="BodyTextFirstIndentChar">
    <w:name w:val="Body Text First Indent Char"/>
    <w:basedOn w:val="BodyTextChar"/>
    <w:link w:val="BodyTextFirstIndent"/>
    <w:uiPriority w:val="99"/>
    <w:semiHidden/>
    <w:rPr>
      <w:rFonts w:ascii="Arial" w:hAnsi="Arial"/>
      <w:sz w:val="20"/>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Arial" w:hAnsi="Arial"/>
      <w:sz w:val="20"/>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semiHidden/>
    <w:rPr>
      <w:rFonts w:ascii="Arial" w:hAnsi="Arial"/>
      <w:sz w:val="20"/>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rPr>
      <w:rFonts w:ascii="Arial" w:hAnsi="Arial"/>
      <w:sz w:val="20"/>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ascii="Arial" w:hAnsi="Arial"/>
      <w:sz w:val="16"/>
      <w:szCs w:val="16"/>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before="0" w:after="200"/>
    </w:pPr>
    <w:rPr>
      <w:b/>
      <w:bCs/>
      <w:color w:val="4F81BD" w:themeColor="accent1"/>
      <w:sz w:val="18"/>
      <w:szCs w:val="18"/>
    </w:rPr>
  </w:style>
  <w:style w:type="paragraph" w:styleId="Closing">
    <w:name w:val="Closing"/>
    <w:basedOn w:val="Normal"/>
    <w:link w:val="ClosingChar"/>
    <w:uiPriority w:val="29"/>
    <w:unhideWhenUsed/>
    <w:qFormat/>
    <w:pPr>
      <w:spacing w:before="0" w:after="0"/>
      <w:ind w:left="4252"/>
    </w:pPr>
  </w:style>
  <w:style w:type="character" w:customStyle="1" w:styleId="ClosingChar">
    <w:name w:val="Closing Char"/>
    <w:basedOn w:val="DefaultParagraphFont"/>
    <w:link w:val="Closing"/>
    <w:uiPriority w:val="99"/>
    <w:semiHidden/>
    <w:rPr>
      <w:rFonts w:ascii="Arial" w:hAnsi="Arial"/>
      <w:sz w:val="20"/>
    </w:rPr>
  </w:style>
  <w:style w:type="table" w:styleId="ColorfulGrid">
    <w:name w:val="Colorful Grid"/>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sz w:val="20"/>
      <w:szCs w:val="20"/>
    </w:rPr>
  </w:style>
  <w:style w:type="table" w:styleId="DarkList">
    <w:name w:val="Dark List"/>
    <w:basedOn w:val="TableNormal"/>
    <w:uiPriority w:val="99"/>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rPr>
      <w:rFonts w:ascii="Arial" w:hAnsi="Arial"/>
      <w:sz w:val="20"/>
    </w:rPr>
  </w:style>
  <w:style w:type="paragraph" w:styleId="DocumentMap">
    <w:name w:val="Document Map"/>
    <w:basedOn w:val="Normal"/>
    <w:link w:val="DocumentMapChar"/>
    <w:uiPriority w:val="99"/>
    <w:semiHidden/>
    <w:unhideWhenUsed/>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before="0" w:after="0"/>
    </w:pPr>
  </w:style>
  <w:style w:type="character" w:customStyle="1" w:styleId="E-mailSignatureChar">
    <w:name w:val="E-mail Signature Char"/>
    <w:basedOn w:val="DefaultParagraphFont"/>
    <w:link w:val="E-mailSignature"/>
    <w:uiPriority w:val="99"/>
    <w:semiHidden/>
    <w:rPr>
      <w:rFonts w:ascii="Arial" w:hAnsi="Arial"/>
      <w:sz w:val="20"/>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after="0"/>
    </w:pPr>
    <w:rPr>
      <w:szCs w:val="20"/>
    </w:rPr>
  </w:style>
  <w:style w:type="character" w:customStyle="1" w:styleId="EndnoteTextChar">
    <w:name w:val="Endnote Text Char"/>
    <w:basedOn w:val="DefaultParagraphFont"/>
    <w:link w:val="EndnoteText"/>
    <w:uiPriority w:val="99"/>
    <w:semiHidden/>
    <w:rPr>
      <w:rFonts w:ascii="Arial" w:hAnsi="Arial"/>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before="0" w:after="0"/>
    </w:pPr>
    <w:rPr>
      <w:szCs w:val="20"/>
    </w:rPr>
  </w:style>
  <w:style w:type="character" w:customStyle="1" w:styleId="FootnoteTextChar">
    <w:name w:val="Footnote Text Char"/>
    <w:basedOn w:val="DefaultParagraphFont"/>
    <w:link w:val="FootnoteText"/>
    <w:uiPriority w:val="99"/>
    <w:semiHidden/>
    <w:rPr>
      <w:rFonts w:ascii="Arial" w:hAnsi="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before="0" w:after="0"/>
    </w:pPr>
    <w:rPr>
      <w:i/>
      <w:iCs/>
    </w:rPr>
  </w:style>
  <w:style w:type="character" w:customStyle="1" w:styleId="HTMLAddressChar">
    <w:name w:val="HTML Address Char"/>
    <w:basedOn w:val="DefaultParagraphFont"/>
    <w:link w:val="HTMLAddress"/>
    <w:uiPriority w:val="99"/>
    <w:semiHidden/>
    <w:rPr>
      <w:rFonts w:ascii="Arial" w:hAnsi="Arial"/>
      <w:i/>
      <w:iCs/>
      <w:sz w:val="20"/>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before="0" w:after="0"/>
    </w:pPr>
    <w:rPr>
      <w:rFonts w:ascii="Consolas" w:hAnsi="Consolas" w:cs="Consolas"/>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before="0" w:after="0"/>
      <w:ind w:left="200" w:hanging="200"/>
    </w:pPr>
  </w:style>
  <w:style w:type="paragraph" w:styleId="Index2">
    <w:name w:val="index 2"/>
    <w:basedOn w:val="Normal"/>
    <w:next w:val="Normal"/>
    <w:autoRedefine/>
    <w:uiPriority w:val="99"/>
    <w:semiHidden/>
    <w:unhideWhenUsed/>
    <w:pPr>
      <w:spacing w:before="0" w:after="0"/>
      <w:ind w:left="400" w:hanging="200"/>
    </w:pPr>
  </w:style>
  <w:style w:type="paragraph" w:styleId="Index3">
    <w:name w:val="index 3"/>
    <w:basedOn w:val="Normal"/>
    <w:next w:val="Normal"/>
    <w:autoRedefine/>
    <w:uiPriority w:val="99"/>
    <w:semiHidden/>
    <w:unhideWhenUsed/>
    <w:pPr>
      <w:spacing w:before="0" w:after="0"/>
      <w:ind w:left="600" w:hanging="200"/>
    </w:pPr>
  </w:style>
  <w:style w:type="paragraph" w:styleId="Index4">
    <w:name w:val="index 4"/>
    <w:basedOn w:val="Normal"/>
    <w:next w:val="Normal"/>
    <w:autoRedefine/>
    <w:uiPriority w:val="99"/>
    <w:semiHidden/>
    <w:unhideWhenUsed/>
    <w:pPr>
      <w:spacing w:before="0" w:after="0"/>
      <w:ind w:left="800" w:hanging="200"/>
    </w:pPr>
  </w:style>
  <w:style w:type="paragraph" w:styleId="Index5">
    <w:name w:val="index 5"/>
    <w:basedOn w:val="Normal"/>
    <w:next w:val="Normal"/>
    <w:autoRedefine/>
    <w:uiPriority w:val="99"/>
    <w:semiHidden/>
    <w:unhideWhenUsed/>
    <w:pPr>
      <w:spacing w:before="0" w:after="0"/>
      <w:ind w:left="1000" w:hanging="200"/>
    </w:pPr>
  </w:style>
  <w:style w:type="paragraph" w:styleId="Index6">
    <w:name w:val="index 6"/>
    <w:basedOn w:val="Normal"/>
    <w:next w:val="Normal"/>
    <w:autoRedefine/>
    <w:uiPriority w:val="99"/>
    <w:semiHidden/>
    <w:unhideWhenUsed/>
    <w:pPr>
      <w:spacing w:before="0" w:after="0"/>
      <w:ind w:left="1200" w:hanging="200"/>
    </w:pPr>
  </w:style>
  <w:style w:type="paragraph" w:styleId="Index7">
    <w:name w:val="index 7"/>
    <w:basedOn w:val="Normal"/>
    <w:next w:val="Normal"/>
    <w:autoRedefine/>
    <w:uiPriority w:val="99"/>
    <w:semiHidden/>
    <w:unhideWhenUsed/>
    <w:pPr>
      <w:spacing w:before="0" w:after="0"/>
      <w:ind w:left="1400" w:hanging="200"/>
    </w:pPr>
  </w:style>
  <w:style w:type="paragraph" w:styleId="Index8">
    <w:name w:val="index 8"/>
    <w:basedOn w:val="Normal"/>
    <w:next w:val="Normal"/>
    <w:autoRedefine/>
    <w:uiPriority w:val="99"/>
    <w:semiHidden/>
    <w:unhideWhenUsed/>
    <w:pPr>
      <w:spacing w:before="0" w:after="0"/>
      <w:ind w:left="1600" w:hanging="200"/>
    </w:pPr>
  </w:style>
  <w:style w:type="paragraph" w:styleId="Index9">
    <w:name w:val="index 9"/>
    <w:basedOn w:val="Normal"/>
    <w:next w:val="Normal"/>
    <w:autoRedefine/>
    <w:uiPriority w:val="99"/>
    <w:semiHidden/>
    <w:unhideWhenUsed/>
    <w:pPr>
      <w:spacing w:before="0"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Arial" w:hAnsi="Arial"/>
      <w:b/>
      <w:bCs/>
      <w:i/>
      <w:iCs/>
      <w:color w:val="4F81BD" w:themeColor="accent1"/>
      <w:sz w:val="20"/>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6"/>
      </w:numPr>
      <w:contextualSpacing/>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Bullet5">
    <w:name w:val="List Bullet 5"/>
    <w:basedOn w:val="Normal"/>
    <w:uiPriority w:val="99"/>
    <w:semiHidden/>
    <w:unhideWhenUsed/>
    <w:pPr>
      <w:numPr>
        <w:numId w:val="10"/>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11"/>
      </w:numPr>
      <w:contextualSpacing/>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ListNumber4">
    <w:name w:val="List Number 4"/>
    <w:basedOn w:val="Normal"/>
    <w:uiPriority w:val="99"/>
    <w:semiHidden/>
    <w:unhideWhenUsed/>
    <w:pPr>
      <w:numPr>
        <w:numId w:val="14"/>
      </w:numPr>
      <w:contextualSpacing/>
    </w:pPr>
  </w:style>
  <w:style w:type="paragraph" w:styleId="ListNumber5">
    <w:name w:val="List Number 5"/>
    <w:basedOn w:val="Normal"/>
    <w:uiPriority w:val="99"/>
    <w:semiHidden/>
    <w:unhideWhenUsed/>
    <w:pPr>
      <w:numPr>
        <w:numId w:val="15"/>
      </w:numPr>
      <w:contextualSpacing/>
    </w:pPr>
  </w:style>
  <w:style w:type="paragraph" w:styleId="ListParagraph">
    <w:name w:val="List Paragraph"/>
    <w:basedOn w:val="Normal"/>
    <w:uiPriority w:val="99"/>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before="240" w:after="0" w:line="240"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table" w:styleId="MediumGrid1">
    <w:name w:val="Medium Grid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pPr>
      <w:spacing w:after="0" w:line="240" w:lineRule="auto"/>
    </w:pPr>
    <w:rPr>
      <w:rFonts w:ascii="Arial" w:hAnsi="Arial"/>
      <w:sz w:val="20"/>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before="0" w:after="0"/>
    </w:pPr>
  </w:style>
  <w:style w:type="character" w:customStyle="1" w:styleId="NoteHeadingChar">
    <w:name w:val="Note Heading Char"/>
    <w:basedOn w:val="DefaultParagraphFont"/>
    <w:link w:val="NoteHeading"/>
    <w:uiPriority w:val="99"/>
    <w:semiHidden/>
    <w:rPr>
      <w:rFonts w:ascii="Arial" w:hAnsi="Arial"/>
      <w:sz w:val="20"/>
    </w:rPr>
  </w:style>
  <w:style w:type="character" w:styleId="PageNumber">
    <w:name w:val="page number"/>
    <w:basedOn w:val="DefaultParagraphFont"/>
    <w:uiPriority w:val="29"/>
    <w:unhideWhenUsed/>
    <w:qFormat/>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rFonts w:ascii="Arial" w:hAnsi="Arial"/>
      <w:i/>
      <w:iCs/>
      <w:color w:val="000000" w:themeColor="text1"/>
      <w:sz w:val="20"/>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Arial" w:hAnsi="Arial"/>
      <w:sz w:val="20"/>
    </w:rPr>
  </w:style>
  <w:style w:type="paragraph" w:styleId="Signature">
    <w:name w:val="Signature"/>
    <w:basedOn w:val="Normal"/>
    <w:link w:val="SignatureChar"/>
    <w:uiPriority w:val="99"/>
    <w:semiHidden/>
    <w:unhideWhenUsed/>
    <w:pPr>
      <w:spacing w:before="0" w:after="0"/>
      <w:ind w:left="4252"/>
    </w:pPr>
  </w:style>
  <w:style w:type="character" w:customStyle="1" w:styleId="SignatureChar">
    <w:name w:val="Signature Char"/>
    <w:basedOn w:val="DefaultParagraphFont"/>
    <w:link w:val="Signature"/>
    <w:uiPriority w:val="99"/>
    <w:semiHidden/>
    <w:rPr>
      <w:rFonts w:ascii="Arial" w:hAnsi="Arial"/>
      <w:sz w:val="20"/>
    </w:rPr>
  </w:style>
  <w:style w:type="character" w:styleId="Strong">
    <w:name w:val="Strong"/>
    <w:basedOn w:val="DefaultParagraphFont"/>
    <w:uiPriority w:val="99"/>
    <w:semiHidden/>
    <w:unhideWhenUsed/>
    <w:rPr>
      <w:b/>
      <w:bCs/>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before="240" w:after="24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before="240" w:after="24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before="240" w:after="24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before="240" w:after="24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before="240" w:after="24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before="240" w:after="24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before="240" w:after="24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before="240" w:after="24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before="240" w:after="24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before="240" w:after="24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before="240" w:after="24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before="240" w:after="24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before="240" w:after="24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before="240" w:after="24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before="240" w:after="24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before="240" w:after="24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before="240" w:after="24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before="240" w:after="24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before="240" w:after="24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before="240" w:after="24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before="240" w:after="24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before="240" w:after="24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before="240" w:after="24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before="240" w:after="24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before="240" w:after="24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before="240" w:after="24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before="240" w:after="24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before="240" w:after="24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before="240" w:after="24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before="240" w:after="24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before="240" w:after="24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before="240" w:after="24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before="240" w:after="24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before="240" w:after="24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before="240" w:after="24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before="240" w:after="24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before="240" w:after="24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before="240" w:after="24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before="240" w:after="24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before="240" w:after="24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before="240" w:after="24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before="240" w:after="24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before="240" w:after="24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00"/>
    </w:p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174139">
      <w:bodyDiv w:val="1"/>
      <w:marLeft w:val="0"/>
      <w:marRight w:val="0"/>
      <w:marTop w:val="0"/>
      <w:marBottom w:val="0"/>
      <w:divBdr>
        <w:top w:val="none" w:sz="0" w:space="0" w:color="auto"/>
        <w:left w:val="none" w:sz="0" w:space="0" w:color="auto"/>
        <w:bottom w:val="none" w:sz="0" w:space="0" w:color="auto"/>
        <w:right w:val="none" w:sz="0" w:space="0" w:color="auto"/>
      </w:divBdr>
    </w:div>
    <w:div w:id="177559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s.co.uk/arag-transfe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DASIrelandSale@arag.i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ustomerrelations@das.co.uk" TargetMode="Externa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rag.ie/DASIrelandSal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C662033FD17A45A96A01785A13674D" ma:contentTypeVersion="2" ma:contentTypeDescription="Create a new document." ma:contentTypeScope="" ma:versionID="1f7da05a12e0f52c73750007b9dc9816">
  <xsd:schema xmlns:xsd="http://www.w3.org/2001/XMLSchema" xmlns:xs="http://www.w3.org/2001/XMLSchema" xmlns:p="http://schemas.microsoft.com/office/2006/metadata/properties" xmlns:ns2="4429784d-0c9c-49b3-b540-3517e84549ea" targetNamespace="http://schemas.microsoft.com/office/2006/metadata/properties" ma:root="true" ma:fieldsID="034a5ba663dead3eb502cb06c85fea2d" ns2:_="">
    <xsd:import namespace="4429784d-0c9c-49b3-b540-3517e84549ea"/>
    <xsd:element name="properties">
      <xsd:complexType>
        <xsd:sequence>
          <xsd:element name="documentManagement">
            <xsd:complexType>
              <xsd:all>
                <xsd:element ref="ns2:Document_x0020_Typ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9784d-0c9c-49b3-b540-3517e84549e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Templates"/>
          <xsd:enumeration value="Brochure"/>
          <xsd:enumeration value="Booklet"/>
          <xsd:enumeration value="Product Template"/>
        </xsd:restriction>
      </xsd:simpleType>
    </xsd:element>
    <xsd:element name="Category" ma:index="9" nillable="true" ma:displayName="Category" ma:format="Dropdown" ma:internalName="Category">
      <xsd:simpleType>
        <xsd:restriction base="dms:Choice">
          <xsd:enumeration value="Fast Facts"/>
          <xsd:enumeration value="Policy Brochure"/>
          <xsd:enumeration value="Company Overview"/>
          <xsd:enumeration value="Presentation"/>
          <xsd:enumeration value="Letterhead"/>
          <xsd:enumeration value="Word 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4429784d-0c9c-49b3-b540-3517e84549ea">Letterhead</Category>
    <Document_x0020_Type xmlns="4429784d-0c9c-49b3-b540-3517e84549ea">Templates</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1B14A-7C8D-4C20-906C-3E5CF16B3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9784d-0c9c-49b3-b540-3517e8454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B737A7-C1A6-4EE5-9558-878B3E2CB6FC}">
  <ds:schemaRefs>
    <ds:schemaRef ds:uri="http://schemas.microsoft.com/sharepoint/v3/contenttype/forms"/>
  </ds:schemaRefs>
</ds:datastoreItem>
</file>

<file path=customXml/itemProps3.xml><?xml version="1.0" encoding="utf-8"?>
<ds:datastoreItem xmlns:ds="http://schemas.openxmlformats.org/officeDocument/2006/customXml" ds:itemID="{E252BFE9-80E4-4D15-9DFA-5505990E451C}">
  <ds:schemaRefs>
    <ds:schemaRef ds:uri="http://schemas.microsoft.com/office/2006/metadata/properties"/>
    <ds:schemaRef ds:uri="http://schemas.microsoft.com/office/infopath/2007/PartnerControls"/>
    <ds:schemaRef ds:uri="4429784d-0c9c-49b3-b540-3517e84549ea"/>
  </ds:schemaRefs>
</ds:datastoreItem>
</file>

<file path=customXml/itemProps4.xml><?xml version="1.0" encoding="utf-8"?>
<ds:datastoreItem xmlns:ds="http://schemas.openxmlformats.org/officeDocument/2006/customXml" ds:itemID="{F32AC153-1D38-4F73-BEE1-5D09D19D6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Moore</dc:creator>
  <cp:lastModifiedBy>CCAM</cp:lastModifiedBy>
  <cp:revision>2</cp:revision>
  <dcterms:created xsi:type="dcterms:W3CDTF">2020-04-17T05:55:00Z</dcterms:created>
  <dcterms:modified xsi:type="dcterms:W3CDTF">2020-04-17T05:55:00Z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78c0db1d-27d9-4fbc-b966-351f1ac1ad2f</vt:lpwstr>
  </property>
</Properties>
</file>