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F7" w:rsidRDefault="003476C8">
      <w:pPr>
        <w:pStyle w:val="RBBodyText"/>
        <w:spacing w:line="240" w:lineRule="auto"/>
        <w:jc w:val="right"/>
        <w:rPr>
          <w:rFonts w:ascii="Arial" w:hAnsi="Arial" w:cs="Arial"/>
          <w:b/>
          <w:i/>
          <w:sz w:val="20"/>
          <w:u w:val="single"/>
        </w:rPr>
      </w:pPr>
      <w:r>
        <w:rPr>
          <w:rFonts w:ascii="Arial" w:hAnsi="Arial" w:cs="Arial"/>
          <w:b/>
          <w:sz w:val="20"/>
          <w:u w:val="single"/>
        </w:rPr>
        <w:t>CR-2019-006972</w:t>
      </w:r>
    </w:p>
    <w:p w:rsidR="00E059F7" w:rsidRDefault="00E059F7">
      <w:pPr>
        <w:pStyle w:val="BodyText0"/>
        <w:rPr>
          <w:b/>
        </w:rPr>
      </w:pPr>
    </w:p>
    <w:p w:rsidR="00E059F7" w:rsidRDefault="003476C8">
      <w:pPr>
        <w:pStyle w:val="BodyText0"/>
        <w:rPr>
          <w:b/>
        </w:rPr>
      </w:pPr>
      <w:r>
        <w:rPr>
          <w:b/>
        </w:rPr>
        <w:t>IN THE HIGH COURT OF JUSTICE</w:t>
      </w:r>
    </w:p>
    <w:p w:rsidR="00E059F7" w:rsidRDefault="003476C8">
      <w:pPr>
        <w:pStyle w:val="BodyText0"/>
        <w:rPr>
          <w:b/>
        </w:rPr>
      </w:pPr>
      <w:r>
        <w:rPr>
          <w:b/>
        </w:rPr>
        <w:t>BUSINESS AND PROPERTY COURTS OF ENGLAND AND WALES</w:t>
      </w:r>
    </w:p>
    <w:p w:rsidR="00E059F7" w:rsidRDefault="003476C8">
      <w:pPr>
        <w:pStyle w:val="BodyText0"/>
        <w:rPr>
          <w:b/>
        </w:rPr>
      </w:pPr>
      <w:r>
        <w:rPr>
          <w:b/>
        </w:rPr>
        <w:t>COMPANIES COURT (</w:t>
      </w:r>
      <w:proofErr w:type="spellStart"/>
      <w:r>
        <w:rPr>
          <w:b/>
        </w:rPr>
        <w:t>ChD</w:t>
      </w:r>
      <w:proofErr w:type="spellEnd"/>
      <w:r>
        <w:rPr>
          <w:b/>
        </w:rPr>
        <w:t>)</w:t>
      </w:r>
    </w:p>
    <w:p w:rsidR="00E059F7" w:rsidRDefault="00E059F7">
      <w:pPr>
        <w:pStyle w:val="BodyText0"/>
        <w:rPr>
          <w:b/>
        </w:rPr>
      </w:pPr>
    </w:p>
    <w:p w:rsidR="00E059F7" w:rsidRDefault="003476C8">
      <w:pPr>
        <w:pStyle w:val="BodyTextBold"/>
        <w:jc w:val="center"/>
      </w:pPr>
      <w:r>
        <w:t>IN THE MATTER OF DAS LEGAL EXPENSES INSURANCE COMPANY LIMITED</w:t>
      </w:r>
    </w:p>
    <w:p w:rsidR="00E059F7" w:rsidRDefault="003476C8">
      <w:pPr>
        <w:pStyle w:val="BodyTextBold"/>
        <w:jc w:val="center"/>
        <w:rPr>
          <w:lang w:val="de-DE"/>
        </w:rPr>
      </w:pPr>
      <w:r>
        <w:rPr>
          <w:lang w:val="de-DE"/>
        </w:rPr>
        <w:t>and</w:t>
      </w:r>
    </w:p>
    <w:p w:rsidR="00E059F7" w:rsidRDefault="003476C8">
      <w:pPr>
        <w:pStyle w:val="BodyTextBold"/>
        <w:jc w:val="center"/>
        <w:rPr>
          <w:lang w:val="de-DE"/>
        </w:rPr>
      </w:pPr>
      <w:r>
        <w:rPr>
          <w:lang w:val="de-DE"/>
        </w:rPr>
        <w:t>IN THE MATTER OF ARAG ALLGEMEINE VERSICHERUNGS-</w:t>
      </w:r>
      <w:r>
        <w:rPr>
          <w:caps/>
          <w:kern w:val="16"/>
          <w:lang w:val="de-DE" w:eastAsia="zh-CN"/>
        </w:rPr>
        <w:t>AG</w:t>
      </w:r>
    </w:p>
    <w:p w:rsidR="00E059F7" w:rsidRDefault="003476C8">
      <w:pPr>
        <w:pStyle w:val="BodyTextBold"/>
        <w:jc w:val="center"/>
      </w:pPr>
      <w:proofErr w:type="gramStart"/>
      <w:r>
        <w:t>and</w:t>
      </w:r>
      <w:proofErr w:type="gramEnd"/>
    </w:p>
    <w:p w:rsidR="00E059F7" w:rsidRDefault="003476C8">
      <w:pPr>
        <w:pStyle w:val="BodyTextBold"/>
        <w:jc w:val="center"/>
      </w:pPr>
      <w:r>
        <w:t>IN THE MATTER OF PART VII OF THE FINANCIAL SERVICES AND MARKETS ACT 2000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5273"/>
        <w:gridCol w:w="1900"/>
      </w:tblGrid>
      <w:tr w:rsidR="00E059F7">
        <w:tc>
          <w:tcPr>
            <w:tcW w:w="2680" w:type="dxa"/>
          </w:tcPr>
          <w:p w:rsidR="00E059F7" w:rsidRDefault="00E059F7">
            <w:pPr>
              <w:pStyle w:val="BodyText0"/>
              <w:spacing w:before="120" w:after="120" w:line="240" w:lineRule="auto"/>
            </w:pPr>
          </w:p>
        </w:tc>
        <w:tc>
          <w:tcPr>
            <w:tcW w:w="7144" w:type="dxa"/>
            <w:tcBorders>
              <w:top w:val="single" w:sz="4" w:space="0" w:color="auto"/>
              <w:bottom w:val="single" w:sz="4" w:space="0" w:color="auto"/>
            </w:tcBorders>
          </w:tcPr>
          <w:p w:rsidR="00E059F7" w:rsidRDefault="003476C8">
            <w:pPr>
              <w:pStyle w:val="BodyText0"/>
              <w:spacing w:before="120" w:after="120" w:line="240" w:lineRule="auto"/>
              <w:jc w:val="center"/>
              <w:rPr>
                <w:b/>
              </w:rPr>
            </w:pPr>
            <w:r>
              <w:rPr>
                <w:b/>
              </w:rPr>
              <w:t>SUMMARY OF THE SCHEME</w:t>
            </w:r>
          </w:p>
        </w:tc>
        <w:tc>
          <w:tcPr>
            <w:tcW w:w="2680" w:type="dxa"/>
          </w:tcPr>
          <w:p w:rsidR="00E059F7" w:rsidRDefault="00E059F7">
            <w:pPr>
              <w:pStyle w:val="BodyText0"/>
              <w:spacing w:before="120" w:after="120" w:line="240" w:lineRule="auto"/>
            </w:pPr>
          </w:p>
        </w:tc>
      </w:tr>
    </w:tbl>
    <w:p w:rsidR="00E059F7" w:rsidRDefault="00E059F7">
      <w:pPr>
        <w:pStyle w:val="BodyText0"/>
      </w:pPr>
    </w:p>
    <w:p w:rsidR="00E059F7" w:rsidRDefault="003476C8">
      <w:pPr>
        <w:pStyle w:val="StandardL1"/>
      </w:pPr>
      <w:r>
        <w:t>Introduction</w:t>
      </w:r>
    </w:p>
    <w:p w:rsidR="00E059F7" w:rsidRDefault="003476C8">
      <w:pPr>
        <w:pStyle w:val="StandardL2"/>
      </w:pPr>
      <w:r>
        <w:t>DAS Legal Expenses Insurance Company Limited (the</w:t>
      </w:r>
      <w:r>
        <w:rPr>
          <w:b/>
        </w:rPr>
        <w:t xml:space="preserve"> Transferor</w:t>
      </w:r>
      <w:r>
        <w:t xml:space="preserve">) is proposing to transfer the business and assets of its Irish branch to the Irish branch of ARAG </w:t>
      </w:r>
      <w:proofErr w:type="spellStart"/>
      <w:r>
        <w:t>Allgemeine</w:t>
      </w:r>
      <w:proofErr w:type="spellEnd"/>
      <w:r>
        <w:t xml:space="preserve"> </w:t>
      </w:r>
      <w:proofErr w:type="spellStart"/>
      <w:r>
        <w:t>Versicherungs</w:t>
      </w:r>
      <w:proofErr w:type="spellEnd"/>
      <w:r>
        <w:t>-AG (the</w:t>
      </w:r>
      <w:r>
        <w:rPr>
          <w:b/>
        </w:rPr>
        <w:t xml:space="preserve"> Transferee</w:t>
      </w:r>
      <w:r>
        <w:t xml:space="preserve">). </w:t>
      </w:r>
    </w:p>
    <w:p w:rsidR="00E059F7" w:rsidRDefault="003476C8">
      <w:pPr>
        <w:pStyle w:val="StandardL2"/>
      </w:pPr>
      <w:r>
        <w:t xml:space="preserve">The transfer is to be effected through an insurance business transfer scheme (the </w:t>
      </w:r>
      <w:r>
        <w:rPr>
          <w:b/>
        </w:rPr>
        <w:t>Scheme</w:t>
      </w:r>
      <w:r>
        <w:t xml:space="preserve">). The Scheme will be carried out through the High Court of Justice in England (the </w:t>
      </w:r>
      <w:r>
        <w:rPr>
          <w:b/>
        </w:rPr>
        <w:t>High Court</w:t>
      </w:r>
      <w:r>
        <w:t>) in accordance with Part VII of the UK Financial Services and Markets Act.</w:t>
      </w:r>
    </w:p>
    <w:p w:rsidR="00E059F7" w:rsidRDefault="003476C8">
      <w:pPr>
        <w:pStyle w:val="StandardL2"/>
      </w:pPr>
      <w:r>
        <w:t>This document sets out a summary of the effect of the Scheme.</w:t>
      </w:r>
    </w:p>
    <w:p w:rsidR="00E059F7" w:rsidRDefault="003476C8">
      <w:pPr>
        <w:pStyle w:val="StandardL2"/>
      </w:pPr>
      <w:r>
        <w:t xml:space="preserve">This document is only a summary. Full details of the Scheme can be found in the complete version which is available free of charge (please refer to paragraph </w:t>
      </w:r>
      <w:r>
        <w:fldChar w:fldCharType="begin"/>
      </w:r>
      <w:r>
        <w:instrText xml:space="preserve"> REF _Ref510684207 \r \h </w:instrText>
      </w:r>
      <w:r>
        <w:fldChar w:fldCharType="separate"/>
      </w:r>
      <w:r>
        <w:t>5</w:t>
      </w:r>
      <w:r>
        <w:fldChar w:fldCharType="end"/>
      </w:r>
      <w:r>
        <w:t xml:space="preserve"> below for further information).  </w:t>
      </w:r>
    </w:p>
    <w:p w:rsidR="00E059F7" w:rsidRDefault="003476C8">
      <w:pPr>
        <w:pStyle w:val="StandardL1"/>
      </w:pPr>
      <w:r>
        <w:t>Background of the Transferor and the Transferee</w:t>
      </w:r>
    </w:p>
    <w:p w:rsidR="00E059F7" w:rsidRDefault="003476C8">
      <w:pPr>
        <w:pStyle w:val="StandardL2"/>
      </w:pPr>
      <w:r>
        <w:t xml:space="preserve">The Transferor is a company incorporated in England with registered number 00103274. The registered office of the Transferor is at DAS House, Quay Side, Temple Back, </w:t>
      </w:r>
      <w:proofErr w:type="gramStart"/>
      <w:r>
        <w:t>Bristol</w:t>
      </w:r>
      <w:proofErr w:type="gramEnd"/>
      <w:r>
        <w:t>, BS1 6NH.</w:t>
      </w:r>
    </w:p>
    <w:p w:rsidR="00E059F7" w:rsidRDefault="003476C8">
      <w:pPr>
        <w:pStyle w:val="StandardL2"/>
      </w:pPr>
      <w:r>
        <w:lastRenderedPageBreak/>
        <w:t xml:space="preserve">The Transferee is a company incorporated in Dusseldorf, Germany with registered number RA000234. The registered office of the Transferee is at </w:t>
      </w:r>
      <w:proofErr w:type="spellStart"/>
      <w:r>
        <w:t>Arag</w:t>
      </w:r>
      <w:proofErr w:type="spellEnd"/>
      <w:r>
        <w:t xml:space="preserve"> </w:t>
      </w:r>
      <w:proofErr w:type="spellStart"/>
      <w:r>
        <w:t>Platz</w:t>
      </w:r>
      <w:proofErr w:type="spellEnd"/>
      <w:r>
        <w:t xml:space="preserve"> 1, 40472, Düsseldorf, Germany.</w:t>
      </w:r>
    </w:p>
    <w:p w:rsidR="00E059F7" w:rsidRDefault="003476C8">
      <w:pPr>
        <w:pStyle w:val="StandardL2"/>
      </w:pPr>
      <w:r>
        <w:t>The policies that will transfer include the policies comprised in (</w:t>
      </w:r>
      <w:proofErr w:type="spellStart"/>
      <w:r>
        <w:t>i</w:t>
      </w:r>
      <w:proofErr w:type="spellEnd"/>
      <w:r>
        <w:t xml:space="preserve">) the general insurance business carried on prior to 1 December 2019 by DAS’ Irish branch; and (ii) a small amount of business written after 1 December 2019 by ARAG Legal Protection Limited pursuant to a binding authority granted by DAS (in each case being “after the event” and “before the event” legal expenses insurance and breakdown insurance business), other than business carried on in Northern Ireland (the </w:t>
      </w:r>
      <w:r>
        <w:rPr>
          <w:b/>
        </w:rPr>
        <w:t>Legacy Business</w:t>
      </w:r>
      <w:r>
        <w:t xml:space="preserve">). </w:t>
      </w:r>
    </w:p>
    <w:p w:rsidR="00E059F7" w:rsidRDefault="003476C8">
      <w:pPr>
        <w:pStyle w:val="StandardL2"/>
      </w:pPr>
      <w:r>
        <w:t xml:space="preserve">The Transferor is authorised and regulated by the UK Prudential Regulation </w:t>
      </w:r>
      <w:proofErr w:type="gramStart"/>
      <w:r>
        <w:t>Authority  and</w:t>
      </w:r>
      <w:proofErr w:type="gramEnd"/>
      <w:r>
        <w:t xml:space="preserve"> is also regulated by the UK Financial Conduct Authority (with firm reference number 202106). </w:t>
      </w:r>
    </w:p>
    <w:p w:rsidR="00E059F7" w:rsidRDefault="003476C8">
      <w:pPr>
        <w:pStyle w:val="StandardL2"/>
      </w:pPr>
      <w:r>
        <w:t xml:space="preserve">The Transferee is authorised and regulated in Germany by </w:t>
      </w:r>
      <w:proofErr w:type="spellStart"/>
      <w:r>
        <w:t>Bundesanstalt</w:t>
      </w:r>
      <w:proofErr w:type="spellEnd"/>
      <w:r>
        <w:t xml:space="preserve"> </w:t>
      </w:r>
      <w:proofErr w:type="spellStart"/>
      <w:r>
        <w:t>für</w:t>
      </w:r>
      <w:proofErr w:type="spellEnd"/>
      <w:r>
        <w:t xml:space="preserve"> </w:t>
      </w:r>
      <w:proofErr w:type="spellStart"/>
      <w:r>
        <w:t>Finanzdienstleistungsaufsicht</w:t>
      </w:r>
      <w:proofErr w:type="spellEnd"/>
      <w:r>
        <w:rPr>
          <w:color w:val="000000"/>
        </w:rPr>
        <w:t xml:space="preserve">. </w:t>
      </w:r>
    </w:p>
    <w:p w:rsidR="00E059F7" w:rsidRDefault="003476C8">
      <w:pPr>
        <w:pStyle w:val="StandardL1"/>
      </w:pPr>
      <w:r>
        <w:t>Process and Timings of the Scheme</w:t>
      </w:r>
    </w:p>
    <w:p w:rsidR="00E059F7" w:rsidRDefault="003476C8">
      <w:pPr>
        <w:pStyle w:val="StandardL2"/>
        <w:keepNext/>
      </w:pPr>
      <w:r>
        <w:t>The proposed timings for the Scheme are:</w:t>
      </w:r>
    </w:p>
    <w:tbl>
      <w:tblPr>
        <w:tblStyle w:val="TableGrid"/>
        <w:tblW w:w="4637"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37"/>
        <w:gridCol w:w="2762"/>
      </w:tblGrid>
      <w:tr w:rsidR="00E059F7">
        <w:trPr>
          <w:cantSplit/>
          <w:tblHeader/>
        </w:trPr>
        <w:tc>
          <w:tcPr>
            <w:tcW w:w="3356" w:type="pct"/>
            <w:shd w:val="clear" w:color="auto" w:fill="E6E6E6"/>
          </w:tcPr>
          <w:p w:rsidR="00E059F7" w:rsidRDefault="00E059F7">
            <w:pPr>
              <w:pStyle w:val="TableHeadingm"/>
            </w:pPr>
          </w:p>
        </w:tc>
        <w:tc>
          <w:tcPr>
            <w:tcW w:w="1644" w:type="pct"/>
            <w:shd w:val="clear" w:color="auto" w:fill="E6E6E6"/>
          </w:tcPr>
          <w:p w:rsidR="00E059F7" w:rsidRDefault="00E059F7">
            <w:pPr>
              <w:pStyle w:val="TableHeadingm"/>
            </w:pPr>
          </w:p>
        </w:tc>
      </w:tr>
      <w:tr w:rsidR="00E059F7">
        <w:tc>
          <w:tcPr>
            <w:tcW w:w="3356" w:type="pct"/>
          </w:tcPr>
          <w:p w:rsidR="00E059F7" w:rsidRDefault="003476C8">
            <w:pPr>
              <w:pStyle w:val="TableLeftm"/>
            </w:pPr>
            <w:r>
              <w:t>High Court hearing</w:t>
            </w:r>
          </w:p>
        </w:tc>
        <w:tc>
          <w:tcPr>
            <w:tcW w:w="1644" w:type="pct"/>
          </w:tcPr>
          <w:p w:rsidR="00E059F7" w:rsidRDefault="003476C8">
            <w:pPr>
              <w:pStyle w:val="TableLeftm"/>
            </w:pPr>
            <w:r>
              <w:rPr>
                <w:rStyle w:val="Prompt"/>
                <w:color w:val="auto"/>
              </w:rPr>
              <w:t xml:space="preserve">28 July 2020 </w:t>
            </w:r>
          </w:p>
        </w:tc>
      </w:tr>
      <w:tr w:rsidR="00E059F7">
        <w:tc>
          <w:tcPr>
            <w:tcW w:w="3356" w:type="pct"/>
          </w:tcPr>
          <w:p w:rsidR="00E059F7" w:rsidRDefault="003476C8">
            <w:pPr>
              <w:pStyle w:val="TableLeftm"/>
            </w:pPr>
            <w:r>
              <w:t>Proposed "Effective Date" (when the Transferring Legacy Business will transfer to the Transferee)</w:t>
            </w:r>
          </w:p>
        </w:tc>
        <w:tc>
          <w:tcPr>
            <w:tcW w:w="1644" w:type="pct"/>
          </w:tcPr>
          <w:p w:rsidR="00E059F7" w:rsidRDefault="003476C8">
            <w:pPr>
              <w:pStyle w:val="TableLeftm"/>
            </w:pPr>
            <w:r>
              <w:t>00:01 BST on 31 July 2020</w:t>
            </w:r>
          </w:p>
        </w:tc>
      </w:tr>
    </w:tbl>
    <w:p w:rsidR="00E059F7" w:rsidRDefault="00E059F7">
      <w:pPr>
        <w:pStyle w:val="TableSpacer"/>
        <w:rPr>
          <w:rFonts w:cs="Arial"/>
        </w:rPr>
      </w:pPr>
    </w:p>
    <w:p w:rsidR="00E059F7" w:rsidRDefault="003476C8">
      <w:pPr>
        <w:pStyle w:val="StandardL2"/>
      </w:pPr>
      <w:r>
        <w:t xml:space="preserve">The Scheme will not go ahead unless the High Court approves it on </w:t>
      </w:r>
      <w:r>
        <w:rPr>
          <w:rStyle w:val="Prompt"/>
          <w:color w:val="auto"/>
        </w:rPr>
        <w:t xml:space="preserve">28 July 2020. </w:t>
      </w:r>
    </w:p>
    <w:p w:rsidR="00E059F7" w:rsidRDefault="003476C8">
      <w:pPr>
        <w:pStyle w:val="StandardL2"/>
      </w:pPr>
      <w:r>
        <w:t>If the High Court imposes any change or conditions to the proposed Scheme, the Scheme will not take effect unless the Transferor and the Transferee consent.</w:t>
      </w:r>
    </w:p>
    <w:p w:rsidR="00E059F7" w:rsidRDefault="003476C8">
      <w:pPr>
        <w:pStyle w:val="StandardL1"/>
      </w:pPr>
      <w:r>
        <w:t>Summary of the Scheme</w:t>
      </w:r>
    </w:p>
    <w:p w:rsidR="00E059F7" w:rsidRDefault="003476C8">
      <w:pPr>
        <w:pStyle w:val="StandardL2"/>
      </w:pPr>
      <w:r>
        <w:t xml:space="preserve">The following is a summary of the main points of the Scheme.  As noted above, the full version of the Scheme document is available free of charge on </w:t>
      </w:r>
      <w:hyperlink r:id="rId8" w:history="1">
        <w:r>
          <w:rPr>
            <w:rStyle w:val="Hyperlink"/>
          </w:rPr>
          <w:t>www.das.co.uk/arag-transfer</w:t>
        </w:r>
      </w:hyperlink>
      <w:r>
        <w:t xml:space="preserve"> and </w:t>
      </w:r>
      <w:hyperlink r:id="rId9" w:history="1">
        <w:r>
          <w:rPr>
            <w:rStyle w:val="Hyperlink"/>
          </w:rPr>
          <w:t>www.arag.ie/DASIrelandSale</w:t>
        </w:r>
      </w:hyperlink>
      <w:r>
        <w:t xml:space="preserve"> (please refer to paragraph </w:t>
      </w:r>
      <w:r>
        <w:fldChar w:fldCharType="begin"/>
      </w:r>
      <w:r>
        <w:instrText xml:space="preserve"> REF _Ref510684207 \r \h </w:instrText>
      </w:r>
      <w:r>
        <w:fldChar w:fldCharType="separate"/>
      </w:r>
      <w:r>
        <w:t>5</w:t>
      </w:r>
      <w:r>
        <w:fldChar w:fldCharType="end"/>
      </w:r>
      <w:r>
        <w:t xml:space="preserve"> below for further information).</w:t>
      </w:r>
    </w:p>
    <w:p w:rsidR="00E059F7" w:rsidRDefault="003476C8">
      <w:pPr>
        <w:pStyle w:val="StandardL2"/>
      </w:pPr>
      <w:r>
        <w:t xml:space="preserve">In addition, the Transferor and the Transferee have prepared a series of policyholder communications which are available at </w:t>
      </w:r>
      <w:hyperlink r:id="rId10" w:history="1">
        <w:r>
          <w:rPr>
            <w:rStyle w:val="Hyperlink"/>
          </w:rPr>
          <w:t>www.das.co.uk/arag-transfer</w:t>
        </w:r>
      </w:hyperlink>
      <w:r>
        <w:t xml:space="preserve"> and </w:t>
      </w:r>
      <w:hyperlink r:id="rId11" w:history="1">
        <w:r>
          <w:rPr>
            <w:rStyle w:val="Hyperlink"/>
          </w:rPr>
          <w:t>www.arag.ie/DASIrelandSale</w:t>
        </w:r>
      </w:hyperlink>
      <w:r>
        <w:t xml:space="preserve">. </w:t>
      </w:r>
    </w:p>
    <w:p w:rsidR="00E059F7" w:rsidRDefault="003476C8">
      <w:pPr>
        <w:pStyle w:val="StandardNoL2"/>
      </w:pPr>
      <w:r>
        <w:lastRenderedPageBreak/>
        <w:t>The Effect of the Scheme</w:t>
      </w:r>
    </w:p>
    <w:p w:rsidR="00E059F7" w:rsidRDefault="003476C8">
      <w:pPr>
        <w:pStyle w:val="StandardL2"/>
      </w:pPr>
      <w:r>
        <w:t>As stated above, the Scheme is intended to transfer all of the Legacy Business from the Irish branch of the Transferor to the Irish branch of Transferee.</w:t>
      </w:r>
    </w:p>
    <w:p w:rsidR="00E059F7" w:rsidRDefault="003476C8">
      <w:pPr>
        <w:pStyle w:val="StandardNoL2"/>
      </w:pPr>
      <w:r>
        <w:t>Claims paid by the Transferee after the Effective Date</w:t>
      </w:r>
    </w:p>
    <w:p w:rsidR="00E059F7" w:rsidRDefault="003476C8">
      <w:pPr>
        <w:pStyle w:val="StandardL2"/>
      </w:pPr>
      <w:bookmarkStart w:id="0" w:name="_Ref415478266"/>
      <w:r>
        <w:t>It is intended that, from the Effective Date, all the rights and obligations arising from the Legacy Business will automatically transfer to the Transferee and will no longer rest with the Transferor. This means that the Transferee will be responsible for paying all claims and meeting all the other obligations which were previously obligations of the Transferor in relation to the Legacy Business.</w:t>
      </w:r>
      <w:bookmarkEnd w:id="0"/>
      <w:r>
        <w:t xml:space="preserve"> </w:t>
      </w:r>
    </w:p>
    <w:p w:rsidR="00E059F7" w:rsidRDefault="003476C8">
      <w:pPr>
        <w:pStyle w:val="StandardNoL2"/>
      </w:pPr>
      <w:r>
        <w:t>Exceptions</w:t>
      </w:r>
    </w:p>
    <w:p w:rsidR="00E059F7" w:rsidRDefault="003476C8">
      <w:pPr>
        <w:pStyle w:val="StandardL2"/>
      </w:pPr>
      <w:r>
        <w:t xml:space="preserve">Despite the intention explained in </w:t>
      </w:r>
      <w:r>
        <w:fldChar w:fldCharType="begin"/>
      </w:r>
      <w:r>
        <w:instrText xml:space="preserve"> REF _Ref415478266 \w \h </w:instrText>
      </w:r>
      <w:r>
        <w:fldChar w:fldCharType="separate"/>
      </w:r>
      <w:r>
        <w:t>4.4</w:t>
      </w:r>
      <w:r>
        <w:fldChar w:fldCharType="end"/>
      </w:r>
      <w:r>
        <w:t xml:space="preserve"> above, there may be a small number of policies which fall outside the Scheme. These would be “Excluded Policies” or “Residual Policies”, as described in more detail in the full version of the Scheme. Any Residual Policies will transfer to the Transferee as soon as possible following the Effective Date.</w:t>
      </w:r>
      <w:r>
        <w:rPr>
          <w:b/>
        </w:rPr>
        <w:t xml:space="preserve"> </w:t>
      </w:r>
    </w:p>
    <w:p w:rsidR="00E059F7" w:rsidRDefault="003476C8">
      <w:pPr>
        <w:pStyle w:val="StandardNoL2"/>
      </w:pPr>
      <w:r>
        <w:t>No Changes to Policy Terms and Conditions</w:t>
      </w:r>
    </w:p>
    <w:p w:rsidR="00E059F7" w:rsidRDefault="003476C8">
      <w:pPr>
        <w:pStyle w:val="StandardL2"/>
      </w:pPr>
      <w:bookmarkStart w:id="1" w:name="_Ref415478249"/>
      <w:r>
        <w:t>There will be no changes to the terms and conditions of the transferring policies, save that the insurer will be the Transferee not the Transferor.</w:t>
      </w:r>
      <w:bookmarkEnd w:id="1"/>
    </w:p>
    <w:p w:rsidR="00E059F7" w:rsidRDefault="003476C8">
      <w:pPr>
        <w:pStyle w:val="StandardNoL2"/>
      </w:pPr>
      <w:r>
        <w:t>Policy administration</w:t>
      </w:r>
    </w:p>
    <w:p w:rsidR="00E059F7" w:rsidRDefault="003476C8">
      <w:pPr>
        <w:pStyle w:val="StandardL2"/>
      </w:pPr>
      <w:r>
        <w:t xml:space="preserve">The administration (including claims handling) of the Legacy Business previously undertaken in Ireland by the Transferor, has since 1 December 2019 been carried out by the Transferee and will continue to be carried out in the same manner by the Transferee following the Effective Date of the Scheme. In particular, the same employees will continue to administer the Legacy Business in the same way that it was administered prior to the Effective Date of the Scheme. The administration (including claims handling) of the Legacy Business will continue to be provided by the Transferee in the same way as it has been since 1 December 2019 </w:t>
      </w:r>
      <w:r>
        <w:rPr>
          <w:i/>
          <w:sz w:val="18"/>
        </w:rPr>
        <w:t xml:space="preserve"> </w:t>
      </w:r>
      <w:r>
        <w:t>regardless of whether the Scheme is sanctioned or not. The Scheme should therefore not have any effect on the policy administration arrangements for the Legacy Business.</w:t>
      </w:r>
    </w:p>
    <w:p w:rsidR="00E059F7" w:rsidRDefault="003476C8">
      <w:pPr>
        <w:pStyle w:val="StandardNoL2"/>
      </w:pPr>
      <w:r>
        <w:t>Continuity of proceedings or litigation</w:t>
      </w:r>
    </w:p>
    <w:p w:rsidR="00E059F7" w:rsidRDefault="003476C8">
      <w:pPr>
        <w:pStyle w:val="StandardL2"/>
      </w:pPr>
      <w:r>
        <w:t xml:space="preserve">From the Effective Date, any current, pending or threatened proceedings or litigation which are brought by or against the Transferor in connection with the Legacy Business or any other claims or complaints which may be brought in the future including those not yet in contemplation in respect of the Legacy Business shall be continued or commenced by or against the Transferee, and the Transferee shall be entitled to all defences, claims, counterclaims and rights of set-off that would have been available to the Transferor.  </w:t>
      </w:r>
    </w:p>
    <w:p w:rsidR="00E059F7" w:rsidRDefault="003476C8">
      <w:pPr>
        <w:pStyle w:val="StandardL2"/>
      </w:pPr>
      <w:r>
        <w:lastRenderedPageBreak/>
        <w:t>From the Effective Date, any judgement, settlement, order or award under current or past proceedings obtained by or against the Transferor in relation to the Legacy Business shall be enforceable by or against the Transferee in place of the Transferor.</w:t>
      </w:r>
    </w:p>
    <w:p w:rsidR="00E059F7" w:rsidRDefault="003476C8">
      <w:pPr>
        <w:pStyle w:val="StandardNoL2"/>
      </w:pPr>
      <w:r>
        <w:t>Costs and Expenses</w:t>
      </w:r>
    </w:p>
    <w:p w:rsidR="00E059F7" w:rsidRDefault="003476C8">
      <w:pPr>
        <w:pStyle w:val="StandardL2"/>
      </w:pPr>
      <w:r>
        <w:t>None of the costs and expenses relating to the preparation of the Scheme or High Court process will be borne by policyholders.</w:t>
      </w:r>
    </w:p>
    <w:p w:rsidR="00E059F7" w:rsidRDefault="003476C8">
      <w:pPr>
        <w:pStyle w:val="StandardL1"/>
      </w:pPr>
      <w:bookmarkStart w:id="2" w:name="_Ref510684207"/>
      <w:r>
        <w:t>Further Information</w:t>
      </w:r>
      <w:bookmarkEnd w:id="2"/>
      <w:r>
        <w:t xml:space="preserve"> </w:t>
      </w:r>
    </w:p>
    <w:p w:rsidR="00E059F7" w:rsidRDefault="003476C8">
      <w:pPr>
        <w:pStyle w:val="StandardL2"/>
        <w:numPr>
          <w:ilvl w:val="0"/>
          <w:numId w:val="0"/>
        </w:numPr>
        <w:ind w:left="567"/>
      </w:pPr>
      <w:r>
        <w:t>If you have any further questions or require a full version of the Scheme please:</w:t>
      </w:r>
    </w:p>
    <w:p w:rsidR="00E059F7" w:rsidRDefault="003476C8">
      <w:pPr>
        <w:pStyle w:val="BodyTextIndent1"/>
        <w:numPr>
          <w:ilvl w:val="0"/>
          <w:numId w:val="7"/>
        </w:numPr>
      </w:pPr>
      <w:r>
        <w:t xml:space="preserve">visit </w:t>
      </w:r>
      <w:hyperlink r:id="rId12" w:history="1">
        <w:r>
          <w:rPr>
            <w:rStyle w:val="Hyperlink"/>
          </w:rPr>
          <w:t>www.das.co.uk/arag-transfer</w:t>
        </w:r>
      </w:hyperlink>
      <w:r>
        <w:t xml:space="preserve"> and </w:t>
      </w:r>
      <w:hyperlink r:id="rId13" w:history="1">
        <w:r>
          <w:rPr>
            <w:rStyle w:val="Hyperlink"/>
          </w:rPr>
          <w:t>www.arag.ie/DASIrelandSale</w:t>
        </w:r>
      </w:hyperlink>
      <w:r>
        <w:t xml:space="preserve">; </w:t>
      </w:r>
    </w:p>
    <w:p w:rsidR="00E059F7" w:rsidRDefault="003476C8">
      <w:pPr>
        <w:pStyle w:val="BodyText0"/>
        <w:numPr>
          <w:ilvl w:val="0"/>
          <w:numId w:val="10"/>
        </w:numPr>
        <w:spacing w:line="240" w:lineRule="auto"/>
        <w:ind w:left="1276"/>
      </w:pPr>
      <w:r>
        <w:t>call the</w:t>
      </w:r>
      <w:r w:rsidR="00AD405F">
        <w:t xml:space="preserve"> helpline on</w:t>
      </w:r>
      <w:bookmarkStart w:id="3" w:name="_GoBack"/>
      <w:bookmarkEnd w:id="3"/>
      <w:r>
        <w:rPr>
          <w:rFonts w:cs="Arial"/>
        </w:rPr>
        <w:t xml:space="preserve">: </w:t>
      </w:r>
    </w:p>
    <w:p w:rsidR="00E059F7" w:rsidRDefault="003476C8">
      <w:pPr>
        <w:pStyle w:val="BodyText0"/>
        <w:numPr>
          <w:ilvl w:val="0"/>
          <w:numId w:val="12"/>
        </w:numPr>
        <w:spacing w:line="240" w:lineRule="auto"/>
        <w:ind w:left="1701"/>
      </w:pPr>
      <w:r>
        <w:rPr>
          <w:rFonts w:cs="Arial"/>
        </w:rPr>
        <w:t>Ireland: +353</w:t>
      </w:r>
      <w:r>
        <w:rPr>
          <w:rStyle w:val="Prompt"/>
          <w:color w:val="auto"/>
        </w:rPr>
        <w:t>(0)1 8818080;</w:t>
      </w:r>
      <w:r>
        <w:rPr>
          <w:rFonts w:cs="Arial"/>
        </w:rPr>
        <w:t xml:space="preserve"> or </w:t>
      </w:r>
    </w:p>
    <w:p w:rsidR="00E059F7" w:rsidRDefault="003476C8">
      <w:pPr>
        <w:pStyle w:val="BodyText0"/>
        <w:numPr>
          <w:ilvl w:val="0"/>
          <w:numId w:val="12"/>
        </w:numPr>
        <w:spacing w:line="240" w:lineRule="auto"/>
        <w:ind w:left="1701"/>
      </w:pPr>
      <w:r>
        <w:rPr>
          <w:rFonts w:cs="Arial"/>
        </w:rPr>
        <w:t xml:space="preserve">UK: </w:t>
      </w:r>
      <w:r>
        <w:t xml:space="preserve">+44(0)117 934 2000, </w:t>
      </w:r>
    </w:p>
    <w:p w:rsidR="00E059F7" w:rsidRDefault="003476C8">
      <w:pPr>
        <w:pStyle w:val="BodyText0"/>
        <w:ind w:left="774"/>
      </w:pPr>
      <w:proofErr w:type="gramStart"/>
      <w:r>
        <w:rPr>
          <w:rFonts w:cs="Arial"/>
        </w:rPr>
        <w:t>available</w:t>
      </w:r>
      <w:proofErr w:type="gramEnd"/>
      <w:r>
        <w:rPr>
          <w:rFonts w:cs="Arial"/>
        </w:rPr>
        <w:t xml:space="preserve"> between 9am to 5pm Monday to Friday (excluding public holidays). C</w:t>
      </w:r>
      <w:r>
        <w:t>allers outside of these hours will be able to leave a message and request that their call is returned</w:t>
      </w:r>
      <w:r>
        <w:rPr>
          <w:rFonts w:cs="Arial"/>
        </w:rPr>
        <w:t xml:space="preserve">; </w:t>
      </w:r>
    </w:p>
    <w:p w:rsidR="00E059F7" w:rsidRDefault="003476C8">
      <w:pPr>
        <w:pStyle w:val="BodyText0"/>
        <w:numPr>
          <w:ilvl w:val="0"/>
          <w:numId w:val="10"/>
        </w:numPr>
        <w:spacing w:line="240" w:lineRule="auto"/>
        <w:ind w:left="1276"/>
        <w:rPr>
          <w:rFonts w:cs="Arial"/>
        </w:rPr>
      </w:pPr>
      <w:r>
        <w:t xml:space="preserve">write to us </w:t>
      </w:r>
      <w:r>
        <w:rPr>
          <w:rFonts w:cs="Arial"/>
        </w:rPr>
        <w:t xml:space="preserve">at: </w:t>
      </w:r>
    </w:p>
    <w:p w:rsidR="00E059F7" w:rsidRDefault="003476C8">
      <w:pPr>
        <w:pStyle w:val="BodyText0"/>
        <w:numPr>
          <w:ilvl w:val="0"/>
          <w:numId w:val="11"/>
        </w:numPr>
        <w:spacing w:line="240" w:lineRule="auto"/>
        <w:ind w:left="1701"/>
        <w:rPr>
          <w:rFonts w:cs="Arial"/>
        </w:rPr>
      </w:pPr>
      <w:r>
        <w:rPr>
          <w:rFonts w:cs="Arial"/>
          <w:u w:val="single"/>
        </w:rPr>
        <w:t>Ireland</w:t>
      </w:r>
      <w:r>
        <w:rPr>
          <w:rFonts w:cs="Arial"/>
        </w:rPr>
        <w:t xml:space="preserve">: ARAG Legal Protection, Europa House, Harcourt Centre, Harcourt Street, Dublin D02 WR20, Ireland; or </w:t>
      </w:r>
    </w:p>
    <w:p w:rsidR="00E059F7" w:rsidRDefault="003476C8">
      <w:pPr>
        <w:pStyle w:val="BodyText0"/>
        <w:numPr>
          <w:ilvl w:val="0"/>
          <w:numId w:val="11"/>
        </w:numPr>
        <w:spacing w:line="240" w:lineRule="auto"/>
        <w:ind w:left="1701"/>
        <w:rPr>
          <w:rFonts w:cs="Arial"/>
        </w:rPr>
      </w:pPr>
      <w:r>
        <w:rPr>
          <w:rFonts w:cs="Arial"/>
          <w:u w:val="single"/>
        </w:rPr>
        <w:t>UK</w:t>
      </w:r>
      <w:r>
        <w:rPr>
          <w:rFonts w:cs="Arial"/>
        </w:rPr>
        <w:t xml:space="preserve">: DAS Legal Expenses Insurance Company Limited, DAS House, Quay Side, Temple Back, Bristol BS1 6NH, United Kingdom; or </w:t>
      </w:r>
    </w:p>
    <w:p w:rsidR="00E059F7" w:rsidRDefault="003476C8">
      <w:pPr>
        <w:pStyle w:val="BodyText0"/>
        <w:numPr>
          <w:ilvl w:val="0"/>
          <w:numId w:val="10"/>
        </w:numPr>
        <w:spacing w:before="240" w:line="240" w:lineRule="auto"/>
        <w:ind w:left="1276"/>
      </w:pPr>
      <w:proofErr w:type="gramStart"/>
      <w:r>
        <w:t>e-mail</w:t>
      </w:r>
      <w:proofErr w:type="gramEnd"/>
      <w:r>
        <w:t xml:space="preserve"> us at: </w:t>
      </w:r>
      <w:hyperlink r:id="rId14" w:history="1">
        <w:r>
          <w:rPr>
            <w:rStyle w:val="Hyperlink"/>
          </w:rPr>
          <w:t>customerrelations@das.co.uk</w:t>
        </w:r>
      </w:hyperlink>
      <w:r>
        <w:t xml:space="preserve">  or </w:t>
      </w:r>
      <w:hyperlink r:id="rId15" w:history="1">
        <w:r>
          <w:rPr>
            <w:rStyle w:val="Hyperlink"/>
          </w:rPr>
          <w:t>DASIrelandSale@arag.ie</w:t>
        </w:r>
      </w:hyperlink>
      <w:r>
        <w:rPr>
          <w:i/>
        </w:rPr>
        <w:t xml:space="preserve">. </w:t>
      </w:r>
    </w:p>
    <w:p w:rsidR="00E059F7" w:rsidRDefault="003476C8">
      <w:pPr>
        <w:pStyle w:val="BodyText0"/>
        <w:spacing w:before="240"/>
        <w:ind w:left="567"/>
      </w:pPr>
      <w:r>
        <w:t xml:space="preserve">Please note that the helpline above is for enquires about the Transfer only. If you have any general questions about your policy, please call your usual contact. </w:t>
      </w:r>
    </w:p>
    <w:sectPr w:rsidR="00E059F7">
      <w:headerReference w:type="even" r:id="rId16"/>
      <w:headerReference w:type="default" r:id="rId17"/>
      <w:footerReference w:type="even" r:id="rId18"/>
      <w:footerReference w:type="default" r:id="rId19"/>
      <w:headerReference w:type="first" r:id="rId20"/>
      <w:footerReference w:type="first" r:id="rId21"/>
      <w:pgSz w:w="11907" w:h="16840" w:code="9"/>
      <w:pgMar w:top="1417" w:right="1417" w:bottom="1417" w:left="1417" w:header="85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24" w:rsidRDefault="00397E24">
      <w:pPr>
        <w:spacing w:after="0"/>
      </w:pPr>
      <w:r>
        <w:separator/>
      </w:r>
    </w:p>
  </w:endnote>
  <w:endnote w:type="continuationSeparator" w:id="0">
    <w:p w:rsidR="00397E24" w:rsidRDefault="00397E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F7" w:rsidRDefault="00E05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F7" w:rsidRDefault="003476C8">
    <w:pPr>
      <w:pStyle w:val="Footer"/>
      <w:spacing w:before="560"/>
      <w:jc w:val="cen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385096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F7" w:rsidRDefault="00E059F7">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8509671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HwAvoq1AgAAswUAAA4A&#10;AAAAAAAAAAAAAAAALgIAAGRycy9lMm9Eb2MueG1sUEsBAi0AFAAGAAgAAAAhAPSEJJTaAAAABAEA&#10;AA8AAAAAAAAAAAAAAAAADwUAAGRycy9kb3ducmV2LnhtbFBLBQYAAAAABAAEAPMAAAAWBgAAAAA=&#10;" filled="f" stroked="f">
              <v:textbox inset="0,0,0,0">
                <w:txbxContent>
                  <w:p w:rsidR="00E059F7" w:rsidRDefault="00E059F7">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AD405F">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F7" w:rsidRDefault="003476C8">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24" w:rsidRDefault="00397E24">
      <w:pPr>
        <w:spacing w:after="0"/>
      </w:pPr>
      <w:r>
        <w:separator/>
      </w:r>
    </w:p>
  </w:footnote>
  <w:footnote w:type="continuationSeparator" w:id="0">
    <w:p w:rsidR="00397E24" w:rsidRDefault="00397E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F7" w:rsidRDefault="00E05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F7" w:rsidRDefault="003476C8">
    <w:pPr>
      <w:pStyle w:val="Header"/>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F7" w:rsidRDefault="00E0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2513"/>
    <w:multiLevelType w:val="multilevel"/>
    <w:tmpl w:val="CE0C2994"/>
    <w:lvl w:ilvl="0">
      <w:start w:val="1"/>
      <w:numFmt w:val="decimal"/>
      <w:pStyle w:val="Listheading2"/>
      <w:lvlText w:val="%1."/>
      <w:lvlJc w:val="left"/>
      <w:pPr>
        <w:ind w:left="357" w:hanging="357"/>
      </w:pPr>
      <w:rPr>
        <w:rFonts w:hint="default"/>
      </w:rPr>
    </w:lvl>
    <w:lvl w:ilvl="1">
      <w:start w:val="1"/>
      <w:numFmt w:val="decimal"/>
      <w:pStyle w:val="Listheading3"/>
      <w:lvlText w:val="%1.%2."/>
      <w:lvlJc w:val="left"/>
      <w:pPr>
        <w:ind w:left="357" w:hanging="35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graph2"/>
      <w:lvlText w:val="%1.%2.%3."/>
      <w:lvlJc w:val="left"/>
      <w:pPr>
        <w:ind w:left="499"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357" w:hanging="357"/>
      </w:pPr>
      <w:rPr>
        <w:rFonts w:ascii="Symbol" w:hAnsi="Symbol"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13B54393"/>
    <w:multiLevelType w:val="multilevel"/>
    <w:tmpl w:val="C39604B6"/>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2" w15:restartNumberingAfterBreak="0">
    <w:nsid w:val="1E542A80"/>
    <w:multiLevelType w:val="hybridMultilevel"/>
    <w:tmpl w:val="776857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3A1A26"/>
    <w:multiLevelType w:val="hybridMultilevel"/>
    <w:tmpl w:val="4EAA43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0521604"/>
    <w:multiLevelType w:val="hybridMultilevel"/>
    <w:tmpl w:val="26D4DE44"/>
    <w:name w:val="Parties-41505678A-X"/>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9F6895"/>
    <w:multiLevelType w:val="multilevel"/>
    <w:tmpl w:val="4044C2FC"/>
    <w:name w:val="Schedule1.-413744662-F"/>
    <w:styleLink w:val="Schedule1List"/>
    <w:lvl w:ilvl="0">
      <w:start w:val="1"/>
      <w:numFmt w:val="decimal"/>
      <w:lvlRestart w:val="0"/>
      <w:pStyle w:val="Schedule1L1"/>
      <w:suff w:val="nothing"/>
      <w:lvlText w:val="Schedule %1 "/>
      <w:lvlJc w:val="left"/>
      <w:pPr>
        <w:tabs>
          <w:tab w:val="num" w:pos="567"/>
        </w:tabs>
        <w:ind w:left="0" w:firstLine="0"/>
      </w:pPr>
      <w:rPr>
        <w:rFonts w:ascii="Arial" w:hAnsi="Arial" w:cs="Arial"/>
        <w:b/>
        <w:sz w:val="24"/>
      </w:rPr>
    </w:lvl>
    <w:lvl w:ilvl="1">
      <w:start w:val="1"/>
      <w:numFmt w:val="decimal"/>
      <w:pStyle w:val="Schedule1L2"/>
      <w:lvlText w:val="%2"/>
      <w:lvlJc w:val="left"/>
      <w:pPr>
        <w:tabs>
          <w:tab w:val="num" w:pos="567"/>
        </w:tabs>
        <w:ind w:left="567" w:hanging="567"/>
      </w:pPr>
      <w:rPr>
        <w:rFonts w:ascii="Arial" w:hAnsi="Arial" w:cs="Arial"/>
        <w:sz w:val="20"/>
      </w:rPr>
    </w:lvl>
    <w:lvl w:ilvl="2">
      <w:start w:val="1"/>
      <w:numFmt w:val="lowerLetter"/>
      <w:pStyle w:val="Schedule1L3"/>
      <w:lvlText w:val="(%3)"/>
      <w:lvlJc w:val="left"/>
      <w:pPr>
        <w:tabs>
          <w:tab w:val="num" w:pos="1134"/>
        </w:tabs>
        <w:ind w:left="1134" w:hanging="567"/>
      </w:pPr>
      <w:rPr>
        <w:rFonts w:ascii="Arial" w:hAnsi="Arial" w:cs="Arial"/>
        <w:sz w:val="20"/>
      </w:rPr>
    </w:lvl>
    <w:lvl w:ilvl="3">
      <w:start w:val="1"/>
      <w:numFmt w:val="lowerRoman"/>
      <w:pStyle w:val="Schedule1L4"/>
      <w:lvlText w:val="(%4)"/>
      <w:lvlJc w:val="left"/>
      <w:pPr>
        <w:tabs>
          <w:tab w:val="num" w:pos="1701"/>
        </w:tabs>
        <w:ind w:left="1701" w:hanging="567"/>
      </w:pPr>
      <w:rPr>
        <w:rFonts w:ascii="Arial" w:hAnsi="Arial" w:cs="Arial"/>
        <w:sz w:val="20"/>
      </w:rPr>
    </w:lvl>
    <w:lvl w:ilvl="4">
      <w:start w:val="1"/>
      <w:numFmt w:val="upperLetter"/>
      <w:pStyle w:val="Schedule1L5"/>
      <w:lvlText w:val="(%5)"/>
      <w:lvlJc w:val="left"/>
      <w:pPr>
        <w:tabs>
          <w:tab w:val="num" w:pos="2268"/>
        </w:tabs>
        <w:ind w:left="2268" w:hanging="567"/>
      </w:pPr>
      <w:rPr>
        <w:rFonts w:ascii="Arial" w:hAnsi="Arial" w:cs="Arial"/>
        <w:sz w:val="20"/>
      </w:rPr>
    </w:lvl>
    <w:lvl w:ilvl="5">
      <w:start w:val="1"/>
      <w:numFmt w:val="upperRoman"/>
      <w:pStyle w:val="Schedule1L6"/>
      <w:lvlText w:val="(%6)"/>
      <w:lvlJc w:val="left"/>
      <w:pPr>
        <w:tabs>
          <w:tab w:val="num" w:pos="2835"/>
        </w:tabs>
        <w:ind w:left="2835" w:hanging="567"/>
      </w:pPr>
      <w:rPr>
        <w:rFonts w:ascii="Arial" w:hAnsi="Arial" w:cs="Arial"/>
        <w:sz w:val="20"/>
      </w:rPr>
    </w:lvl>
    <w:lvl w:ilvl="6">
      <w:start w:val="1"/>
      <w:numFmt w:val="decimal"/>
      <w:pStyle w:val="Schedule1L7"/>
      <w:lvlText w:val="(%7)"/>
      <w:lvlJc w:val="left"/>
      <w:pPr>
        <w:tabs>
          <w:tab w:val="num" w:pos="3402"/>
        </w:tabs>
        <w:ind w:left="3402" w:hanging="567"/>
      </w:pPr>
      <w:rPr>
        <w:rFonts w:ascii="Arial" w:hAnsi="Arial" w:cs="Arial"/>
        <w:sz w:val="20"/>
      </w:rPr>
    </w:lvl>
    <w:lvl w:ilvl="7">
      <w:start w:val="1"/>
      <w:numFmt w:val="lowerLetter"/>
      <w:pStyle w:val="Schedule1L8"/>
      <w:lvlText w:val="%8."/>
      <w:lvlJc w:val="left"/>
      <w:pPr>
        <w:tabs>
          <w:tab w:val="num" w:pos="3969"/>
        </w:tabs>
        <w:ind w:left="3969" w:hanging="567"/>
      </w:pPr>
      <w:rPr>
        <w:rFonts w:ascii="Arial" w:hAnsi="Arial" w:cs="Arial"/>
        <w:sz w:val="20"/>
      </w:rPr>
    </w:lvl>
    <w:lvl w:ilvl="8">
      <w:start w:val="1"/>
      <w:numFmt w:val="lowerRoman"/>
      <w:pStyle w:val="Schedule1L9"/>
      <w:lvlText w:val="%9."/>
      <w:lvlJc w:val="left"/>
      <w:pPr>
        <w:tabs>
          <w:tab w:val="num" w:pos="4535"/>
        </w:tabs>
        <w:ind w:left="4535" w:hanging="566"/>
      </w:pPr>
      <w:rPr>
        <w:rFonts w:ascii="Arial" w:hAnsi="Arial" w:cs="Arial"/>
        <w:sz w:val="20"/>
      </w:rPr>
    </w:lvl>
  </w:abstractNum>
  <w:abstractNum w:abstractNumId="6" w15:restartNumberingAfterBreak="0">
    <w:nsid w:val="400658D6"/>
    <w:multiLevelType w:val="hybridMultilevel"/>
    <w:tmpl w:val="E5407068"/>
    <w:name w:val="Unknown B-43117392B-X"/>
    <w:lvl w:ilvl="0" w:tplc="60EC9C8C">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415924EB"/>
    <w:multiLevelType w:val="multilevel"/>
    <w:tmpl w:val="5B646562"/>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8" w15:restartNumberingAfterBreak="0">
    <w:nsid w:val="45F51952"/>
    <w:multiLevelType w:val="multilevel"/>
    <w:tmpl w:val="C55AB2B4"/>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F06850"/>
    <w:multiLevelType w:val="hybridMultilevel"/>
    <w:tmpl w:val="3B78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B2D74"/>
    <w:multiLevelType w:val="hybridMultilevel"/>
    <w:tmpl w:val="113A64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995BDE"/>
    <w:multiLevelType w:val="hybridMultilevel"/>
    <w:tmpl w:val="3C7E1A3E"/>
    <w:lvl w:ilvl="0" w:tplc="310CFFF4">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1">
      <w:lvl w:ilvl="1">
        <w:start w:val="1"/>
        <w:numFmt w:val="decimal"/>
        <w:pStyle w:val="StandardL2"/>
        <w:lvlText w:val="%1.%2"/>
        <w:lvlJc w:val="right"/>
        <w:pPr>
          <w:tabs>
            <w:tab w:val="num" w:pos="567"/>
          </w:tabs>
          <w:ind w:left="567" w:hanging="452"/>
        </w:pPr>
        <w:rPr>
          <w:rFonts w:ascii="Arial" w:hAnsi="Arial" w:cs="Arial"/>
          <w:b w:val="0"/>
          <w:i w:val="0"/>
          <w:sz w:val="20"/>
        </w:rPr>
      </w:lvl>
    </w:lvlOverride>
  </w:num>
  <w:num w:numId="3">
    <w:abstractNumId w:val="5"/>
  </w:num>
  <w:num w:numId="4">
    <w:abstractNumId w:val="8"/>
  </w:num>
  <w:num w:numId="5">
    <w:abstractNumId w:val="1"/>
  </w:num>
  <w:num w:numId="6">
    <w:abstractNumId w:val="7"/>
  </w:num>
  <w:num w:numId="7">
    <w:abstractNumId w:val="3"/>
  </w:num>
  <w:num w:numId="8">
    <w:abstractNumId w:val="0"/>
  </w:num>
  <w:num w:numId="9">
    <w:abstractNumId w:val="11"/>
  </w:num>
  <w:num w:numId="10">
    <w:abstractNumId w:val="9"/>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F7"/>
    <w:rsid w:val="003476C8"/>
    <w:rsid w:val="00397E24"/>
    <w:rsid w:val="005C3819"/>
    <w:rsid w:val="00AD405F"/>
    <w:rsid w:val="00E059F7"/>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6466DC3-0A8B-4E46-94D4-3EF3EE00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link w:val="Heading2Char"/>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680"/>
        <w:tab w:val="right" w:pos="9360"/>
      </w:tabs>
      <w:spacing w:after="0"/>
      <w:jc w:val="left"/>
    </w:pPr>
    <w:rPr>
      <w:lang w:eastAsia="fr-FR"/>
    </w:rPr>
  </w:style>
  <w:style w:type="paragraph" w:styleId="Footer">
    <w:name w:val="footer"/>
    <w:basedOn w:val="NormalSingle"/>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jc w:val="left"/>
    </w:pPr>
    <w:rPr>
      <w:rFonts w:cs="Times New Roman"/>
      <w:szCs w:val="20"/>
      <w:lang w:eastAsia="en-CA"/>
    </w:rPr>
  </w:style>
  <w:style w:type="paragraph" w:customStyle="1" w:styleId="PartiesUserDefined2">
    <w:name w:val="*Parties=User Defined 2"/>
    <w:basedOn w:val="Normal"/>
    <w:uiPriority w:val="10"/>
    <w:qFormat/>
    <w:pPr>
      <w:spacing w:line="360" w:lineRule="auto"/>
      <w:jc w:val="left"/>
    </w:pPr>
    <w:rPr>
      <w:rFonts w:cs="Times New Roman"/>
      <w:szCs w:val="20"/>
      <w:lang w:eastAsia="en-CA"/>
    </w:rPr>
  </w:style>
  <w:style w:type="paragraph" w:customStyle="1" w:styleId="PartiesUserDefined3">
    <w:name w:val="*Parties=User Defined 3"/>
    <w:basedOn w:val="Normal"/>
    <w:uiPriority w:val="10"/>
    <w:qFormat/>
    <w:pPr>
      <w:spacing w:line="360" w:lineRule="auto"/>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lang w:eastAsia="en-US"/>
    </w:rPr>
  </w:style>
  <w:style w:type="character" w:customStyle="1" w:styleId="EndnoteTextChar">
    <w:name w:val="Endnote Text Char"/>
    <w:basedOn w:val="DefaultParagraphFont"/>
    <w:link w:val="EndnoteText"/>
    <w:uiPriority w:val="99"/>
    <w:semiHidden/>
    <w:rPr>
      <w:rFonts w:ascii="Arial" w:hAnsi="Arial" w:cs="Arial"/>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StandardL1">
    <w:name w:val="Standard_L1"/>
    <w:basedOn w:val="BodyText0"/>
    <w:next w:val="StandardL2"/>
    <w:uiPriority w:val="49"/>
    <w:qFormat/>
    <w:pPr>
      <w:keepNext/>
      <w:numPr>
        <w:numId w:val="2"/>
      </w:numPr>
      <w:ind w:hanging="454"/>
      <w:outlineLvl w:val="0"/>
    </w:pPr>
    <w:rPr>
      <w:rFonts w:cs="Arial"/>
      <w:b/>
      <w:sz w:val="24"/>
    </w:rPr>
  </w:style>
  <w:style w:type="paragraph" w:customStyle="1" w:styleId="StandardL2">
    <w:name w:val="Standard_L2"/>
    <w:basedOn w:val="BodyText0"/>
    <w:uiPriority w:val="49"/>
    <w:qFormat/>
    <w:pPr>
      <w:numPr>
        <w:ilvl w:val="1"/>
        <w:numId w:val="2"/>
      </w:numPr>
      <w:outlineLvl w:val="1"/>
    </w:pPr>
    <w:rPr>
      <w:rFonts w:cs="Arial"/>
    </w:rPr>
  </w:style>
  <w:style w:type="paragraph" w:customStyle="1" w:styleId="StandardL3">
    <w:name w:val="Standard_L3"/>
    <w:basedOn w:val="BodyText0"/>
    <w:uiPriority w:val="49"/>
    <w:qFormat/>
    <w:pPr>
      <w:numPr>
        <w:ilvl w:val="2"/>
        <w:numId w:val="2"/>
      </w:numPr>
      <w:outlineLvl w:val="2"/>
    </w:pPr>
    <w:rPr>
      <w:rFonts w:cs="Arial"/>
    </w:rPr>
  </w:style>
  <w:style w:type="paragraph" w:customStyle="1" w:styleId="StandardL4">
    <w:name w:val="Standard_L4"/>
    <w:basedOn w:val="BodyText0"/>
    <w:uiPriority w:val="49"/>
    <w:qFormat/>
    <w:pPr>
      <w:numPr>
        <w:ilvl w:val="3"/>
        <w:numId w:val="2"/>
      </w:numPr>
      <w:outlineLvl w:val="3"/>
    </w:pPr>
    <w:rPr>
      <w:rFonts w:cs="Arial"/>
    </w:rPr>
  </w:style>
  <w:style w:type="paragraph" w:customStyle="1" w:styleId="StandardL5">
    <w:name w:val="Standard_L5"/>
    <w:basedOn w:val="BodyText0"/>
    <w:uiPriority w:val="49"/>
    <w:qFormat/>
    <w:pPr>
      <w:numPr>
        <w:ilvl w:val="4"/>
        <w:numId w:val="2"/>
      </w:numPr>
      <w:outlineLvl w:val="4"/>
    </w:pPr>
    <w:rPr>
      <w:rFonts w:cs="Arial"/>
    </w:rPr>
  </w:style>
  <w:style w:type="paragraph" w:customStyle="1" w:styleId="StandardL6">
    <w:name w:val="Standard_L6"/>
    <w:basedOn w:val="BodyText0"/>
    <w:uiPriority w:val="49"/>
    <w:qFormat/>
    <w:pPr>
      <w:numPr>
        <w:ilvl w:val="5"/>
        <w:numId w:val="2"/>
      </w:numPr>
      <w:outlineLvl w:val="5"/>
    </w:pPr>
    <w:rPr>
      <w:rFonts w:cs="Arial"/>
    </w:rPr>
  </w:style>
  <w:style w:type="paragraph" w:customStyle="1" w:styleId="StandardL7">
    <w:name w:val="Standard_L7"/>
    <w:basedOn w:val="BodyText0"/>
    <w:uiPriority w:val="49"/>
    <w:qFormat/>
    <w:pPr>
      <w:numPr>
        <w:ilvl w:val="6"/>
        <w:numId w:val="2"/>
      </w:numPr>
      <w:outlineLvl w:val="6"/>
    </w:pPr>
    <w:rPr>
      <w:rFonts w:cs="Arial"/>
    </w:rPr>
  </w:style>
  <w:style w:type="paragraph" w:customStyle="1" w:styleId="StandardL8">
    <w:name w:val="Standard_L8"/>
    <w:basedOn w:val="BodyText0"/>
    <w:uiPriority w:val="49"/>
    <w:qFormat/>
    <w:pPr>
      <w:numPr>
        <w:ilvl w:val="7"/>
        <w:numId w:val="2"/>
      </w:numPr>
      <w:outlineLvl w:val="7"/>
    </w:pPr>
    <w:rPr>
      <w:rFonts w:cs="Arial"/>
    </w:rPr>
  </w:style>
  <w:style w:type="paragraph" w:customStyle="1" w:styleId="StandardL9">
    <w:name w:val="Standard_L9"/>
    <w:basedOn w:val="BodyText0"/>
    <w:uiPriority w:val="49"/>
    <w:qFormat/>
    <w:pPr>
      <w:numPr>
        <w:ilvl w:val="8"/>
        <w:numId w:val="2"/>
      </w:numPr>
      <w:ind w:hanging="567"/>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numbering" w:customStyle="1" w:styleId="StandardList">
    <w:name w:val="_Standard List"/>
    <w:basedOn w:val="NoList"/>
    <w:pPr>
      <w:numPr>
        <w:numId w:val="6"/>
      </w:numPr>
    </w:pPr>
  </w:style>
  <w:style w:type="paragraph" w:customStyle="1" w:styleId="Watermark">
    <w:name w:val="Watermark"/>
    <w:uiPriority w:val="29"/>
    <w:qFormat/>
    <w:pPr>
      <w:jc w:val="center"/>
    </w:pPr>
    <w:rPr>
      <w:rFonts w:ascii="Arial" w:hAnsi="Arial"/>
      <w:color w:val="C0C0C0"/>
      <w:sz w:val="80"/>
      <w:lang w:eastAsia="en-US"/>
    </w:rPr>
  </w:style>
  <w:style w:type="paragraph" w:customStyle="1" w:styleId="Schedule1L1">
    <w:name w:val="Schedule1_L1"/>
    <w:basedOn w:val="BodyText0"/>
    <w:next w:val="Schedule1L2"/>
    <w:uiPriority w:val="49"/>
    <w:qFormat/>
    <w:pPr>
      <w:keepNext/>
      <w:pageBreakBefore/>
      <w:numPr>
        <w:numId w:val="3"/>
      </w:numPr>
      <w:jc w:val="center"/>
      <w:outlineLvl w:val="0"/>
    </w:pPr>
    <w:rPr>
      <w:rFonts w:cs="Arial"/>
      <w:b/>
      <w:sz w:val="24"/>
    </w:rPr>
  </w:style>
  <w:style w:type="paragraph" w:customStyle="1" w:styleId="Schedule1L2">
    <w:name w:val="Schedule1_L2"/>
    <w:basedOn w:val="BodyText0"/>
    <w:uiPriority w:val="49"/>
    <w:qFormat/>
    <w:pPr>
      <w:numPr>
        <w:ilvl w:val="1"/>
        <w:numId w:val="3"/>
      </w:numPr>
    </w:pPr>
    <w:rPr>
      <w:rFonts w:cs="Arial"/>
    </w:rPr>
  </w:style>
  <w:style w:type="paragraph" w:customStyle="1" w:styleId="Schedule1L3">
    <w:name w:val="Schedule1_L3"/>
    <w:basedOn w:val="BodyText0"/>
    <w:uiPriority w:val="49"/>
    <w:qFormat/>
    <w:pPr>
      <w:numPr>
        <w:ilvl w:val="2"/>
        <w:numId w:val="3"/>
      </w:numPr>
    </w:pPr>
    <w:rPr>
      <w:rFonts w:cs="Arial"/>
    </w:rPr>
  </w:style>
  <w:style w:type="paragraph" w:customStyle="1" w:styleId="Schedule1L4">
    <w:name w:val="Schedule1_L4"/>
    <w:basedOn w:val="BodyText0"/>
    <w:uiPriority w:val="49"/>
    <w:qFormat/>
    <w:pPr>
      <w:numPr>
        <w:ilvl w:val="3"/>
        <w:numId w:val="3"/>
      </w:numPr>
      <w:jc w:val="left"/>
    </w:pPr>
    <w:rPr>
      <w:rFonts w:cs="Arial"/>
    </w:rPr>
  </w:style>
  <w:style w:type="paragraph" w:customStyle="1" w:styleId="Schedule1L5">
    <w:name w:val="Schedule1_L5"/>
    <w:basedOn w:val="BodyText0"/>
    <w:uiPriority w:val="49"/>
    <w:qFormat/>
    <w:pPr>
      <w:numPr>
        <w:ilvl w:val="4"/>
        <w:numId w:val="3"/>
      </w:numPr>
    </w:pPr>
    <w:rPr>
      <w:rFonts w:cs="Arial"/>
    </w:rPr>
  </w:style>
  <w:style w:type="paragraph" w:customStyle="1" w:styleId="Schedule1L6">
    <w:name w:val="Schedule1_L6"/>
    <w:basedOn w:val="BodyText0"/>
    <w:uiPriority w:val="49"/>
    <w:qFormat/>
    <w:pPr>
      <w:numPr>
        <w:ilvl w:val="5"/>
        <w:numId w:val="3"/>
      </w:numPr>
    </w:pPr>
    <w:rPr>
      <w:rFonts w:cs="Arial"/>
    </w:rPr>
  </w:style>
  <w:style w:type="paragraph" w:customStyle="1" w:styleId="Schedule1L7">
    <w:name w:val="Schedule1_L7"/>
    <w:basedOn w:val="BodyText0"/>
    <w:uiPriority w:val="49"/>
    <w:qFormat/>
    <w:pPr>
      <w:numPr>
        <w:ilvl w:val="6"/>
        <w:numId w:val="3"/>
      </w:numPr>
    </w:pPr>
    <w:rPr>
      <w:rFonts w:cs="Arial"/>
    </w:rPr>
  </w:style>
  <w:style w:type="paragraph" w:customStyle="1" w:styleId="Schedule1L8">
    <w:name w:val="Schedule1_L8"/>
    <w:basedOn w:val="BodyText0"/>
    <w:uiPriority w:val="49"/>
    <w:qFormat/>
    <w:pPr>
      <w:numPr>
        <w:ilvl w:val="7"/>
        <w:numId w:val="3"/>
      </w:numPr>
    </w:pPr>
    <w:rPr>
      <w:rFonts w:cs="Arial"/>
    </w:rPr>
  </w:style>
  <w:style w:type="paragraph" w:customStyle="1" w:styleId="Schedule1L9">
    <w:name w:val="Schedule1_L9"/>
    <w:basedOn w:val="BodyText0"/>
    <w:uiPriority w:val="49"/>
    <w:qFormat/>
    <w:pPr>
      <w:numPr>
        <w:ilvl w:val="8"/>
        <w:numId w:val="3"/>
      </w:numPr>
      <w:ind w:hanging="567"/>
    </w:pPr>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jc w:val="left"/>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numbering" w:customStyle="1" w:styleId="Schedule1List">
    <w:name w:val="Schedule1. List"/>
    <w:basedOn w:val="NoList"/>
    <w:uiPriority w:val="99"/>
    <w:semiHidden/>
    <w:pPr>
      <w:numPr>
        <w:numId w:val="3"/>
      </w:numPr>
    </w:pPr>
  </w:style>
  <w:style w:type="paragraph" w:customStyle="1" w:styleId="CoverParties">
    <w:name w:val="Cover Parties"/>
    <w:basedOn w:val="Normal"/>
    <w:next w:val="CoverPartiesand"/>
    <w:uiPriority w:val="29"/>
    <w:qFormat/>
    <w:pPr>
      <w:spacing w:line="360" w:lineRule="auto"/>
      <w:jc w:val="center"/>
    </w:pPr>
    <w:rPr>
      <w:b/>
      <w:caps/>
      <w:sz w:val="24"/>
    </w:rPr>
  </w:style>
  <w:style w:type="paragraph" w:customStyle="1" w:styleId="CoverPartiesand">
    <w:name w:val="Cover Parties and"/>
    <w:basedOn w:val="Normal"/>
    <w:uiPriority w:val="29"/>
    <w:qFormat/>
    <w:pPr>
      <w:spacing w:line="360" w:lineRule="auto"/>
      <w:jc w:val="center"/>
    </w:pPr>
    <w:rPr>
      <w:b/>
      <w:sz w:val="24"/>
    </w:rPr>
  </w:style>
  <w:style w:type="paragraph" w:customStyle="1" w:styleId="CoverTitle">
    <w:name w:val="Cover Title"/>
    <w:basedOn w:val="BodyText0"/>
    <w:uiPriority w:val="29"/>
    <w:qFormat/>
    <w:pPr>
      <w:jc w:val="center"/>
    </w:pPr>
    <w:rPr>
      <w:b/>
      <w:bCs/>
      <w:caps/>
      <w:sz w:val="24"/>
      <w:szCs w:val="24"/>
    </w:rPr>
  </w:style>
  <w:style w:type="paragraph" w:customStyle="1" w:styleId="CoverDate">
    <w:name w:val="Cover Date"/>
    <w:basedOn w:val="Normal"/>
    <w:uiPriority w:val="29"/>
    <w:qFormat/>
    <w:pPr>
      <w:tabs>
        <w:tab w:val="right" w:pos="4536"/>
      </w:tabs>
      <w:spacing w:line="360" w:lineRule="auto"/>
    </w:pPr>
    <w:rPr>
      <w:b/>
      <w:sz w:val="24"/>
    </w:rPr>
  </w:style>
  <w:style w:type="paragraph" w:customStyle="1" w:styleId="SimpleL1">
    <w:name w:val="Simple_L1"/>
    <w:basedOn w:val="BodyText0"/>
    <w:uiPriority w:val="49"/>
    <w:qFormat/>
    <w:pPr>
      <w:numPr>
        <w:numId w:val="4"/>
      </w:numPr>
      <w:outlineLvl w:val="0"/>
    </w:pPr>
    <w:rPr>
      <w:rFonts w:cs="Arial"/>
    </w:rPr>
  </w:style>
  <w:style w:type="paragraph" w:customStyle="1" w:styleId="SimpleL2">
    <w:name w:val="Simple_L2"/>
    <w:basedOn w:val="BodyText0"/>
    <w:uiPriority w:val="49"/>
    <w:qFormat/>
    <w:pPr>
      <w:numPr>
        <w:ilvl w:val="1"/>
        <w:numId w:val="4"/>
      </w:numPr>
      <w:outlineLvl w:val="1"/>
    </w:pPr>
    <w:rPr>
      <w:rFonts w:cs="Arial"/>
    </w:rPr>
  </w:style>
  <w:style w:type="paragraph" w:customStyle="1" w:styleId="SimpleL3">
    <w:name w:val="Simple_L3"/>
    <w:basedOn w:val="BodyText0"/>
    <w:uiPriority w:val="49"/>
    <w:qFormat/>
    <w:pPr>
      <w:numPr>
        <w:ilvl w:val="2"/>
        <w:numId w:val="4"/>
      </w:numPr>
      <w:outlineLvl w:val="2"/>
    </w:pPr>
    <w:rPr>
      <w:rFonts w:cs="Arial"/>
    </w:rPr>
  </w:style>
  <w:style w:type="paragraph" w:customStyle="1" w:styleId="SimpleL4">
    <w:name w:val="Simple_L4"/>
    <w:basedOn w:val="BodyText0"/>
    <w:uiPriority w:val="49"/>
    <w:qFormat/>
    <w:pPr>
      <w:numPr>
        <w:ilvl w:val="3"/>
        <w:numId w:val="4"/>
      </w:numPr>
      <w:outlineLvl w:val="3"/>
    </w:pPr>
    <w:rPr>
      <w:rFonts w:cs="Arial"/>
    </w:rPr>
  </w:style>
  <w:style w:type="paragraph" w:customStyle="1" w:styleId="SimpleL5">
    <w:name w:val="Simple_L5"/>
    <w:basedOn w:val="BodyText0"/>
    <w:uiPriority w:val="49"/>
    <w:qFormat/>
    <w:pPr>
      <w:numPr>
        <w:ilvl w:val="4"/>
        <w:numId w:val="4"/>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4"/>
      </w:numPr>
    </w:pPr>
  </w:style>
  <w:style w:type="paragraph" w:customStyle="1" w:styleId="BulletsL1">
    <w:name w:val="Bullets_L1"/>
    <w:basedOn w:val="BodyText0"/>
    <w:uiPriority w:val="49"/>
    <w:qFormat/>
    <w:pPr>
      <w:numPr>
        <w:numId w:val="5"/>
      </w:numPr>
    </w:pPr>
    <w:rPr>
      <w:rFonts w:cs="Arial"/>
    </w:rPr>
  </w:style>
  <w:style w:type="paragraph" w:customStyle="1" w:styleId="BulletsL2">
    <w:name w:val="Bullets_L2"/>
    <w:basedOn w:val="BodyText0"/>
    <w:uiPriority w:val="49"/>
    <w:qFormat/>
    <w:pPr>
      <w:numPr>
        <w:ilvl w:val="1"/>
        <w:numId w:val="5"/>
      </w:numPr>
    </w:pPr>
    <w:rPr>
      <w:rFonts w:cs="Arial"/>
    </w:rPr>
  </w:style>
  <w:style w:type="paragraph" w:customStyle="1" w:styleId="BulletsL3">
    <w:name w:val="Bullets_L3"/>
    <w:basedOn w:val="BodyText0"/>
    <w:uiPriority w:val="49"/>
    <w:qFormat/>
    <w:pPr>
      <w:numPr>
        <w:ilvl w:val="2"/>
        <w:numId w:val="5"/>
      </w:numPr>
    </w:pPr>
    <w:rPr>
      <w:rFonts w:cs="Arial"/>
    </w:rPr>
  </w:style>
  <w:style w:type="paragraph" w:customStyle="1" w:styleId="BulletsL4">
    <w:name w:val="Bullets_L4"/>
    <w:basedOn w:val="BodyText0"/>
    <w:uiPriority w:val="49"/>
    <w:qFormat/>
    <w:pPr>
      <w:numPr>
        <w:ilvl w:val="3"/>
        <w:numId w:val="5"/>
      </w:numPr>
    </w:pPr>
    <w:rPr>
      <w:rFonts w:cs="Arial"/>
    </w:rPr>
  </w:style>
  <w:style w:type="paragraph" w:customStyle="1" w:styleId="BulletsL5">
    <w:name w:val="Bullets_L5"/>
    <w:basedOn w:val="BodyText0"/>
    <w:uiPriority w:val="49"/>
    <w:qFormat/>
    <w:pPr>
      <w:numPr>
        <w:ilvl w:val="4"/>
        <w:numId w:val="5"/>
      </w:numPr>
    </w:pPr>
    <w:rPr>
      <w:rFonts w:cs="Arial"/>
    </w:rPr>
  </w:style>
  <w:style w:type="paragraph" w:customStyle="1" w:styleId="BulletsL6">
    <w:name w:val="Bullets_L6"/>
    <w:basedOn w:val="BodyText0"/>
    <w:uiPriority w:val="49"/>
    <w:qFormat/>
    <w:pPr>
      <w:numPr>
        <w:ilvl w:val="5"/>
        <w:numId w:val="5"/>
      </w:numPr>
    </w:pPr>
    <w:rPr>
      <w:rFonts w:cs="Arial"/>
    </w:rPr>
  </w:style>
  <w:style w:type="paragraph" w:customStyle="1" w:styleId="BulletsL7">
    <w:name w:val="Bullets_L7"/>
    <w:basedOn w:val="BodyText0"/>
    <w:uiPriority w:val="49"/>
    <w:qFormat/>
    <w:pPr>
      <w:numPr>
        <w:ilvl w:val="6"/>
        <w:numId w:val="5"/>
      </w:numPr>
    </w:pPr>
    <w:rPr>
      <w:rFonts w:cs="Arial"/>
    </w:rPr>
  </w:style>
  <w:style w:type="paragraph" w:customStyle="1" w:styleId="BulletsL8">
    <w:name w:val="Bullets_L8"/>
    <w:basedOn w:val="BodyText0"/>
    <w:uiPriority w:val="49"/>
    <w:qFormat/>
    <w:pPr>
      <w:numPr>
        <w:ilvl w:val="7"/>
        <w:numId w:val="5"/>
      </w:numPr>
      <w:ind w:hanging="567"/>
    </w:pPr>
    <w:rPr>
      <w:rFonts w:cs="Arial"/>
    </w:rPr>
  </w:style>
  <w:style w:type="paragraph" w:customStyle="1" w:styleId="BulletsL9">
    <w:name w:val="Bullets_L9"/>
    <w:basedOn w:val="BodyText0"/>
    <w:uiPriority w:val="49"/>
    <w:qFormat/>
    <w:pPr>
      <w:numPr>
        <w:ilvl w:val="8"/>
        <w:numId w:val="5"/>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5"/>
      </w:numPr>
    </w:pPr>
  </w:style>
  <w:style w:type="paragraph" w:customStyle="1" w:styleId="Default">
    <w:name w:val="Default"/>
    <w:uiPriority w:val="29"/>
    <w:qFormat/>
    <w:pPr>
      <w:autoSpaceDE w:val="0"/>
      <w:autoSpaceDN w:val="0"/>
      <w:adjustRightInd w:val="0"/>
    </w:pPr>
    <w:rPr>
      <w:rFonts w:ascii="Arial" w:hAnsi="Arial" w:cs="Arial"/>
      <w:color w:val="000000"/>
      <w:sz w:val="24"/>
      <w:szCs w:val="24"/>
      <w:lang w:val="en-GB"/>
    </w:rPr>
  </w:style>
  <w:style w:type="character" w:customStyle="1" w:styleId="Heading2Char">
    <w:name w:val="Heading 2 Char"/>
    <w:link w:val="Heading2"/>
    <w:uiPriority w:val="99"/>
    <w:semiHidden/>
    <w:rPr>
      <w:rFonts w:ascii="Arial" w:hAnsi="Arial" w:cs="Arial"/>
      <w:b/>
      <w:bCs/>
      <w:i/>
      <w:iCs/>
      <w:szCs w:val="24"/>
      <w:lang w:val="en-GB" w:eastAsia="en-US"/>
    </w:rPr>
  </w:style>
  <w:style w:type="paragraph" w:customStyle="1" w:styleId="Listheading2">
    <w:name w:val="List heading 2"/>
    <w:basedOn w:val="Heading2"/>
    <w:autoRedefine/>
    <w:uiPriority w:val="49"/>
    <w:qFormat/>
    <w:pPr>
      <w:keepLines/>
      <w:numPr>
        <w:numId w:val="8"/>
      </w:numPr>
      <w:spacing w:before="0" w:after="0" w:line="276" w:lineRule="auto"/>
      <w:ind w:left="851" w:hanging="851"/>
    </w:pPr>
    <w:rPr>
      <w:rFonts w:ascii="Segoe UI" w:eastAsiaTheme="majorEastAsia" w:hAnsi="Segoe UI" w:cs="Segoe UI"/>
      <w:i w:val="0"/>
      <w:iCs w:val="0"/>
      <w:color w:val="4F81BD" w:themeColor="accent1"/>
      <w:sz w:val="26"/>
      <w:szCs w:val="26"/>
      <w:lang w:eastAsia="en-GB"/>
    </w:rPr>
  </w:style>
  <w:style w:type="paragraph" w:customStyle="1" w:styleId="Listheading3">
    <w:name w:val="List heading 3"/>
    <w:basedOn w:val="Normal"/>
    <w:next w:val="ListParagraph2"/>
    <w:uiPriority w:val="49"/>
    <w:qFormat/>
    <w:pPr>
      <w:keepNext/>
      <w:numPr>
        <w:ilvl w:val="1"/>
        <w:numId w:val="8"/>
      </w:numPr>
      <w:spacing w:after="0"/>
      <w:ind w:left="851" w:hanging="851"/>
      <w:jc w:val="left"/>
    </w:pPr>
    <w:rPr>
      <w:rFonts w:ascii="Segoe UI" w:eastAsiaTheme="majorEastAsia" w:hAnsi="Segoe UI" w:cs="Segoe UI"/>
      <w:b/>
      <w:color w:val="4F81BD" w:themeColor="accent1"/>
      <w:sz w:val="22"/>
      <w:szCs w:val="26"/>
      <w:lang w:eastAsia="en-GB"/>
    </w:rPr>
  </w:style>
  <w:style w:type="paragraph" w:customStyle="1" w:styleId="ListParagraph2">
    <w:name w:val="List Paragraph (2)"/>
    <w:basedOn w:val="ListParagraph"/>
    <w:link w:val="ListParagraph2Char"/>
    <w:uiPriority w:val="49"/>
    <w:qFormat/>
    <w:pPr>
      <w:numPr>
        <w:ilvl w:val="2"/>
        <w:numId w:val="8"/>
      </w:numPr>
      <w:spacing w:after="120" w:line="240" w:lineRule="auto"/>
      <w:ind w:left="851" w:hanging="851"/>
      <w:contextualSpacing w:val="0"/>
    </w:pPr>
    <w:rPr>
      <w:rFonts w:ascii="Segoe UI" w:eastAsiaTheme="minorEastAsia" w:hAnsi="Segoe UI" w:cs="Segoe UI"/>
      <w:sz w:val="22"/>
      <w:szCs w:val="22"/>
      <w:lang w:eastAsia="en-GB"/>
    </w:rPr>
  </w:style>
  <w:style w:type="character" w:customStyle="1" w:styleId="ListParagraph2Char">
    <w:name w:val="List Paragraph (2) Char"/>
    <w:basedOn w:val="DefaultParagraphFont"/>
    <w:link w:val="ListParagraph2"/>
    <w:uiPriority w:val="49"/>
    <w:rPr>
      <w:rFonts w:ascii="Segoe UI" w:eastAsiaTheme="minorEastAsia" w:hAnsi="Segoe UI" w:cs="Segoe UI"/>
      <w:sz w:val="22"/>
      <w:szCs w:val="22"/>
      <w:lang w:val="en-GB" w:eastAsia="en-GB"/>
    </w:rPr>
  </w:style>
  <w:style w:type="paragraph" w:customStyle="1" w:styleId="Bullet">
    <w:name w:val="Bullet"/>
    <w:basedOn w:val="Normal"/>
    <w:link w:val="BulletChar"/>
    <w:uiPriority w:val="49"/>
    <w:qFormat/>
    <w:pPr>
      <w:numPr>
        <w:numId w:val="9"/>
      </w:numPr>
      <w:spacing w:after="120"/>
      <w:ind w:left="1276" w:hanging="357"/>
      <w:contextualSpacing/>
    </w:pPr>
    <w:rPr>
      <w:rFonts w:ascii="Segoe UI" w:eastAsiaTheme="minorEastAsia" w:hAnsi="Segoe UI" w:cs="Segoe UI"/>
      <w:sz w:val="22"/>
      <w:szCs w:val="22"/>
      <w:lang w:eastAsia="en-GB"/>
    </w:rPr>
  </w:style>
  <w:style w:type="character" w:customStyle="1" w:styleId="BulletChar">
    <w:name w:val="Bullet Char"/>
    <w:basedOn w:val="DefaultParagraphFont"/>
    <w:link w:val="Bullet"/>
    <w:uiPriority w:val="49"/>
    <w:rPr>
      <w:rFonts w:ascii="Segoe UI" w:eastAsiaTheme="minorEastAsia" w:hAnsi="Segoe UI" w:cs="Segoe UI"/>
      <w:sz w:val="22"/>
      <w:szCs w:val="22"/>
      <w:lang w:val="en-GB" w:eastAsia="en-GB"/>
    </w:rPr>
  </w:style>
  <w:style w:type="paragraph" w:customStyle="1" w:styleId="RBBodyText">
    <w:name w:val="RB Body Text"/>
    <w:basedOn w:val="Normal"/>
    <w:uiPriority w:val="29"/>
    <w:qFormat/>
    <w:pPr>
      <w:overflowPunct w:val="0"/>
      <w:autoSpaceDE w:val="0"/>
      <w:autoSpaceDN w:val="0"/>
      <w:adjustRightInd w:val="0"/>
      <w:spacing w:after="300" w:line="360" w:lineRule="auto"/>
      <w:textAlignment w:val="baseline"/>
    </w:pPr>
    <w:rPr>
      <w:rFonts w:ascii="Garamond" w:hAnsi="Garamond"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co.uk/arag-transfer" TargetMode="External"/><Relationship Id="rId13" Type="http://schemas.openxmlformats.org/officeDocument/2006/relationships/hyperlink" Target="http://www.arag.ie/DASIrelandSa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as.co.uk/arag-transf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g.ie/DASIrelandSale" TargetMode="External"/><Relationship Id="rId5" Type="http://schemas.openxmlformats.org/officeDocument/2006/relationships/webSettings" Target="webSettings.xml"/><Relationship Id="rId15" Type="http://schemas.openxmlformats.org/officeDocument/2006/relationships/hyperlink" Target="mailto:DASIrelandSale@arag.ie" TargetMode="External"/><Relationship Id="rId23" Type="http://schemas.openxmlformats.org/officeDocument/2006/relationships/theme" Target="theme/theme1.xml"/><Relationship Id="rId10" Type="http://schemas.openxmlformats.org/officeDocument/2006/relationships/hyperlink" Target="http://www.das.co.uk/arag-transf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ag.ie/DASIrelandSale" TargetMode="External"/><Relationship Id="rId14" Type="http://schemas.openxmlformats.org/officeDocument/2006/relationships/hyperlink" Target="mailto:customerrelations@da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D9FA-787A-4940-A468-3D0E7C83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Moore</dc:creator>
  <cp:lastModifiedBy>CCAM</cp:lastModifiedBy>
  <cp:revision>3</cp:revision>
  <dcterms:created xsi:type="dcterms:W3CDTF">2020-04-15T11:42:00Z</dcterms:created>
  <dcterms:modified xsi:type="dcterms:W3CDTF">2020-04-16T11:26:00Z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a5303ca4-390d-4421-b484-2a962d17c6c1</vt:lpwstr>
  </property>
</Properties>
</file>