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3B0" w:rsidRDefault="00C46CFC">
      <w:pPr>
        <w:pStyle w:val="BodyText0"/>
        <w:ind w:right="1372"/>
      </w:pPr>
      <w:bookmarkStart w:id="0" w:name="_GoBack"/>
      <w:bookmarkEnd w:id="0"/>
      <w:r>
        <w:t xml:space="preserve"> </w:t>
      </w:r>
    </w:p>
    <w:p w:rsidR="005203B0" w:rsidRDefault="005203B0">
      <w:pPr>
        <w:pStyle w:val="BodyText0"/>
        <w:ind w:right="1372"/>
      </w:pPr>
    </w:p>
    <w:p w:rsidR="005203B0" w:rsidRDefault="00C46CFC">
      <w:pPr>
        <w:pStyle w:val="BodyText0"/>
        <w:spacing w:before="2760" w:line="240" w:lineRule="auto"/>
        <w:ind w:right="1372"/>
        <w:rPr>
          <w:b/>
          <w:sz w:val="72"/>
          <w:szCs w:val="72"/>
        </w:rPr>
      </w:pPr>
      <w:r>
        <w:rPr>
          <w:b/>
          <w:sz w:val="72"/>
          <w:szCs w:val="72"/>
        </w:rPr>
        <w:t xml:space="preserve">Transferring to </w:t>
      </w:r>
      <w:r>
        <w:rPr>
          <w:b/>
          <w:sz w:val="72"/>
          <w:szCs w:val="72"/>
        </w:rPr>
        <w:br/>
      </w:r>
      <w:r>
        <w:rPr>
          <w:i/>
          <w:sz w:val="72"/>
          <w:szCs w:val="72"/>
        </w:rPr>
        <w:t>ARAG Allgemeine Versicherungs-AG</w:t>
      </w:r>
    </w:p>
    <w:p w:rsidR="005203B0" w:rsidRDefault="00C46CFC">
      <w:pPr>
        <w:pStyle w:val="BodyText0"/>
        <w:spacing w:line="240" w:lineRule="auto"/>
        <w:ind w:right="1372"/>
        <w:rPr>
          <w:noProof/>
          <w:sz w:val="34"/>
        </w:rPr>
      </w:pPr>
      <w:r>
        <w:rPr>
          <w:sz w:val="34"/>
        </w:rPr>
        <w:t xml:space="preserve">Your questions about the </w:t>
      </w:r>
      <w:r>
        <w:rPr>
          <w:sz w:val="34"/>
        </w:rPr>
        <w:br/>
        <w:t>transfer of policies answered</w:t>
      </w:r>
      <w:r>
        <w:rPr>
          <w:noProof/>
          <w:sz w:val="34"/>
        </w:rPr>
        <w:t xml:space="preserve"> </w:t>
      </w:r>
    </w:p>
    <w:p w:rsidR="005203B0" w:rsidRDefault="005203B0">
      <w:pPr>
        <w:pStyle w:val="BodyText0"/>
        <w:ind w:right="1372"/>
      </w:pPr>
    </w:p>
    <w:p w:rsidR="005203B0" w:rsidRDefault="005203B0">
      <w:pPr>
        <w:ind w:right="1372"/>
        <w:sectPr w:rsidR="005203B0">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851" w:footer="567" w:gutter="0"/>
          <w:pgNumType w:start="1"/>
          <w:cols w:space="708"/>
          <w:titlePg/>
          <w:docGrid w:linePitch="360"/>
        </w:sectPr>
      </w:pPr>
    </w:p>
    <w:p w:rsidR="005203B0" w:rsidRDefault="00C46CFC">
      <w:pPr>
        <w:pStyle w:val="BodyText0"/>
        <w:ind w:right="1372"/>
        <w:rPr>
          <w:sz w:val="52"/>
        </w:rPr>
      </w:pPr>
      <w:r>
        <w:rPr>
          <w:sz w:val="52"/>
        </w:rPr>
        <w:lastRenderedPageBreak/>
        <w:t>Contents</w:t>
      </w:r>
    </w:p>
    <w:p w:rsidR="005203B0" w:rsidRDefault="00C46CFC">
      <w:pPr>
        <w:pStyle w:val="BodyText0"/>
        <w:spacing w:after="0"/>
        <w:ind w:right="1372"/>
        <w:rPr>
          <w:b/>
        </w:rPr>
      </w:pPr>
      <w:r>
        <w:rPr>
          <w:b/>
        </w:rPr>
        <w:t>1. Your Questions Answered</w:t>
      </w:r>
    </w:p>
    <w:p w:rsidR="005203B0" w:rsidRDefault="00C46CFC">
      <w:pPr>
        <w:pStyle w:val="TOC1"/>
        <w:rPr>
          <w:rFonts w:asciiTheme="minorHAnsi" w:eastAsiaTheme="minorEastAsia" w:hAnsiTheme="minorHAnsi" w:cstheme="minorBidi"/>
          <w:noProof/>
          <w:sz w:val="22"/>
          <w:szCs w:val="22"/>
          <w:lang w:eastAsia="en-GB"/>
        </w:rPr>
      </w:pPr>
      <w:r>
        <w:rPr>
          <w:b/>
        </w:rPr>
        <w:fldChar w:fldCharType="begin"/>
      </w:r>
      <w:r>
        <w:rPr>
          <w:b/>
        </w:rPr>
        <w:instrText xml:space="preserve"> TOC \o "1-1" \h \z \u </w:instrText>
      </w:r>
      <w:r>
        <w:rPr>
          <w:b/>
        </w:rPr>
        <w:fldChar w:fldCharType="separate"/>
      </w:r>
      <w:hyperlink w:anchor="_Toc22128303" w:history="1">
        <w:r>
          <w:rPr>
            <w:rStyle w:val="Hyperlink"/>
            <w:noProof/>
          </w:rPr>
          <w:t>Section 1  General Overview</w:t>
        </w:r>
        <w:r>
          <w:rPr>
            <w:noProof/>
            <w:webHidden/>
          </w:rPr>
          <w:tab/>
        </w:r>
        <w:r>
          <w:rPr>
            <w:noProof/>
            <w:webHidden/>
          </w:rPr>
          <w:fldChar w:fldCharType="begin"/>
        </w:r>
        <w:r>
          <w:rPr>
            <w:noProof/>
            <w:webHidden/>
          </w:rPr>
          <w:instrText xml:space="preserve"> PAGEREF _Toc22128303 \h </w:instrText>
        </w:r>
        <w:r>
          <w:rPr>
            <w:noProof/>
            <w:webHidden/>
          </w:rPr>
        </w:r>
        <w:r>
          <w:rPr>
            <w:noProof/>
            <w:webHidden/>
          </w:rPr>
          <w:fldChar w:fldCharType="separate"/>
        </w:r>
        <w:r>
          <w:rPr>
            <w:noProof/>
            <w:webHidden/>
          </w:rPr>
          <w:t>1</w:t>
        </w:r>
        <w:r>
          <w:rPr>
            <w:noProof/>
            <w:webHidden/>
          </w:rPr>
          <w:fldChar w:fldCharType="end"/>
        </w:r>
      </w:hyperlink>
    </w:p>
    <w:p w:rsidR="005203B0" w:rsidRDefault="00033714">
      <w:pPr>
        <w:pStyle w:val="TOC1"/>
        <w:rPr>
          <w:rFonts w:asciiTheme="minorHAnsi" w:eastAsiaTheme="minorEastAsia" w:hAnsiTheme="minorHAnsi" w:cstheme="minorBidi"/>
          <w:noProof/>
          <w:sz w:val="22"/>
          <w:szCs w:val="22"/>
          <w:lang w:eastAsia="en-GB"/>
        </w:rPr>
      </w:pPr>
      <w:hyperlink w:anchor="_Toc22128304" w:history="1">
        <w:r w:rsidR="00C46CFC">
          <w:rPr>
            <w:rStyle w:val="Hyperlink"/>
            <w:noProof/>
          </w:rPr>
          <w:t>Section 2  More about ARAG</w:t>
        </w:r>
        <w:r w:rsidR="00C46CFC">
          <w:rPr>
            <w:noProof/>
            <w:webHidden/>
          </w:rPr>
          <w:tab/>
        </w:r>
        <w:r w:rsidR="00C46CFC">
          <w:rPr>
            <w:noProof/>
            <w:webHidden/>
          </w:rPr>
          <w:fldChar w:fldCharType="begin"/>
        </w:r>
        <w:r w:rsidR="00C46CFC">
          <w:rPr>
            <w:noProof/>
            <w:webHidden/>
          </w:rPr>
          <w:instrText xml:space="preserve"> PAGEREF _Toc22128304 \h </w:instrText>
        </w:r>
        <w:r w:rsidR="00C46CFC">
          <w:rPr>
            <w:noProof/>
            <w:webHidden/>
          </w:rPr>
        </w:r>
        <w:r w:rsidR="00C46CFC">
          <w:rPr>
            <w:noProof/>
            <w:webHidden/>
          </w:rPr>
          <w:fldChar w:fldCharType="separate"/>
        </w:r>
        <w:r w:rsidR="00C46CFC">
          <w:rPr>
            <w:noProof/>
            <w:webHidden/>
          </w:rPr>
          <w:t>2</w:t>
        </w:r>
        <w:r w:rsidR="00C46CFC">
          <w:rPr>
            <w:noProof/>
            <w:webHidden/>
          </w:rPr>
          <w:fldChar w:fldCharType="end"/>
        </w:r>
      </w:hyperlink>
    </w:p>
    <w:p w:rsidR="005203B0" w:rsidRDefault="00033714">
      <w:pPr>
        <w:pStyle w:val="TOC1"/>
        <w:rPr>
          <w:rFonts w:asciiTheme="minorHAnsi" w:eastAsiaTheme="minorEastAsia" w:hAnsiTheme="minorHAnsi" w:cstheme="minorBidi"/>
          <w:noProof/>
          <w:sz w:val="22"/>
          <w:szCs w:val="22"/>
          <w:lang w:eastAsia="en-GB"/>
        </w:rPr>
      </w:pPr>
      <w:hyperlink w:anchor="_Toc22128305" w:history="1">
        <w:r w:rsidR="00C46CFC">
          <w:rPr>
            <w:rStyle w:val="Hyperlink"/>
            <w:noProof/>
          </w:rPr>
          <w:t>Section 3  More about the Transfer Process</w:t>
        </w:r>
        <w:r w:rsidR="00C46CFC">
          <w:rPr>
            <w:noProof/>
            <w:webHidden/>
          </w:rPr>
          <w:tab/>
        </w:r>
        <w:r w:rsidR="00C46CFC">
          <w:rPr>
            <w:noProof/>
            <w:webHidden/>
          </w:rPr>
          <w:fldChar w:fldCharType="begin"/>
        </w:r>
        <w:r w:rsidR="00C46CFC">
          <w:rPr>
            <w:noProof/>
            <w:webHidden/>
          </w:rPr>
          <w:instrText xml:space="preserve"> PAGEREF _Toc22128305 \h </w:instrText>
        </w:r>
        <w:r w:rsidR="00C46CFC">
          <w:rPr>
            <w:noProof/>
            <w:webHidden/>
          </w:rPr>
        </w:r>
        <w:r w:rsidR="00C46CFC">
          <w:rPr>
            <w:noProof/>
            <w:webHidden/>
          </w:rPr>
          <w:fldChar w:fldCharType="separate"/>
        </w:r>
        <w:r w:rsidR="00C46CFC">
          <w:rPr>
            <w:noProof/>
            <w:webHidden/>
          </w:rPr>
          <w:t>3</w:t>
        </w:r>
        <w:r w:rsidR="00C46CFC">
          <w:rPr>
            <w:noProof/>
            <w:webHidden/>
          </w:rPr>
          <w:fldChar w:fldCharType="end"/>
        </w:r>
      </w:hyperlink>
    </w:p>
    <w:p w:rsidR="005203B0" w:rsidRDefault="00033714">
      <w:pPr>
        <w:pStyle w:val="TOC1"/>
        <w:rPr>
          <w:rFonts w:asciiTheme="minorHAnsi" w:eastAsiaTheme="minorEastAsia" w:hAnsiTheme="minorHAnsi" w:cstheme="minorBidi"/>
          <w:noProof/>
          <w:sz w:val="22"/>
          <w:szCs w:val="22"/>
          <w:lang w:eastAsia="en-GB"/>
        </w:rPr>
      </w:pPr>
      <w:hyperlink w:anchor="_Toc22128306" w:history="1">
        <w:r w:rsidR="00C46CFC">
          <w:rPr>
            <w:rStyle w:val="Hyperlink"/>
            <w:noProof/>
          </w:rPr>
          <w:t>Section 4  More about the Independent Expert</w:t>
        </w:r>
        <w:r w:rsidR="00C46CFC">
          <w:rPr>
            <w:noProof/>
            <w:webHidden/>
          </w:rPr>
          <w:tab/>
        </w:r>
        <w:r w:rsidR="00C46CFC">
          <w:rPr>
            <w:noProof/>
            <w:webHidden/>
          </w:rPr>
          <w:fldChar w:fldCharType="begin"/>
        </w:r>
        <w:r w:rsidR="00C46CFC">
          <w:rPr>
            <w:noProof/>
            <w:webHidden/>
          </w:rPr>
          <w:instrText xml:space="preserve"> PAGEREF _Toc22128306 \h </w:instrText>
        </w:r>
        <w:r w:rsidR="00C46CFC">
          <w:rPr>
            <w:noProof/>
            <w:webHidden/>
          </w:rPr>
        </w:r>
        <w:r w:rsidR="00C46CFC">
          <w:rPr>
            <w:noProof/>
            <w:webHidden/>
          </w:rPr>
          <w:fldChar w:fldCharType="separate"/>
        </w:r>
        <w:r w:rsidR="00C46CFC">
          <w:rPr>
            <w:noProof/>
            <w:webHidden/>
          </w:rPr>
          <w:t>5</w:t>
        </w:r>
        <w:r w:rsidR="00C46CFC">
          <w:rPr>
            <w:noProof/>
            <w:webHidden/>
          </w:rPr>
          <w:fldChar w:fldCharType="end"/>
        </w:r>
      </w:hyperlink>
    </w:p>
    <w:p w:rsidR="005203B0" w:rsidRDefault="00033714">
      <w:pPr>
        <w:pStyle w:val="TOC1"/>
        <w:rPr>
          <w:rFonts w:asciiTheme="minorHAnsi" w:eastAsiaTheme="minorEastAsia" w:hAnsiTheme="minorHAnsi" w:cstheme="minorBidi"/>
          <w:noProof/>
          <w:sz w:val="22"/>
          <w:szCs w:val="22"/>
          <w:lang w:eastAsia="en-GB"/>
        </w:rPr>
      </w:pPr>
      <w:hyperlink w:anchor="_Toc22128307" w:history="1">
        <w:r w:rsidR="00C46CFC">
          <w:rPr>
            <w:rStyle w:val="Hyperlink"/>
            <w:noProof/>
          </w:rPr>
          <w:t>Section 5  Will there be any changes to my policy?</w:t>
        </w:r>
        <w:r w:rsidR="00C46CFC">
          <w:rPr>
            <w:noProof/>
            <w:webHidden/>
          </w:rPr>
          <w:tab/>
        </w:r>
        <w:r w:rsidR="00C46CFC">
          <w:rPr>
            <w:noProof/>
            <w:webHidden/>
          </w:rPr>
          <w:fldChar w:fldCharType="begin"/>
        </w:r>
        <w:r w:rsidR="00C46CFC">
          <w:rPr>
            <w:noProof/>
            <w:webHidden/>
          </w:rPr>
          <w:instrText xml:space="preserve"> PAGEREF _Toc22128307 \h </w:instrText>
        </w:r>
        <w:r w:rsidR="00C46CFC">
          <w:rPr>
            <w:noProof/>
            <w:webHidden/>
          </w:rPr>
        </w:r>
        <w:r w:rsidR="00C46CFC">
          <w:rPr>
            <w:noProof/>
            <w:webHidden/>
          </w:rPr>
          <w:fldChar w:fldCharType="separate"/>
        </w:r>
        <w:r w:rsidR="00C46CFC">
          <w:rPr>
            <w:noProof/>
            <w:webHidden/>
          </w:rPr>
          <w:t>6</w:t>
        </w:r>
        <w:r w:rsidR="00C46CFC">
          <w:rPr>
            <w:noProof/>
            <w:webHidden/>
          </w:rPr>
          <w:fldChar w:fldCharType="end"/>
        </w:r>
      </w:hyperlink>
    </w:p>
    <w:p w:rsidR="005203B0" w:rsidRDefault="00033714">
      <w:pPr>
        <w:pStyle w:val="TOC1"/>
        <w:rPr>
          <w:rFonts w:asciiTheme="minorHAnsi" w:eastAsiaTheme="minorEastAsia" w:hAnsiTheme="minorHAnsi" w:cstheme="minorBidi"/>
          <w:noProof/>
          <w:sz w:val="22"/>
          <w:szCs w:val="22"/>
          <w:lang w:eastAsia="en-GB"/>
        </w:rPr>
      </w:pPr>
      <w:hyperlink w:anchor="_Toc22128308" w:history="1">
        <w:r w:rsidR="00C46CFC">
          <w:rPr>
            <w:rStyle w:val="Hyperlink"/>
            <w:noProof/>
          </w:rPr>
          <w:t>Section 6  Final Comments</w:t>
        </w:r>
        <w:r w:rsidR="00C46CFC">
          <w:rPr>
            <w:noProof/>
            <w:webHidden/>
          </w:rPr>
          <w:tab/>
        </w:r>
        <w:r w:rsidR="00C46CFC">
          <w:rPr>
            <w:noProof/>
            <w:webHidden/>
          </w:rPr>
          <w:fldChar w:fldCharType="begin"/>
        </w:r>
        <w:r w:rsidR="00C46CFC">
          <w:rPr>
            <w:noProof/>
            <w:webHidden/>
          </w:rPr>
          <w:instrText xml:space="preserve"> PAGEREF _Toc22128308 \h </w:instrText>
        </w:r>
        <w:r w:rsidR="00C46CFC">
          <w:rPr>
            <w:noProof/>
            <w:webHidden/>
          </w:rPr>
        </w:r>
        <w:r w:rsidR="00C46CFC">
          <w:rPr>
            <w:noProof/>
            <w:webHidden/>
          </w:rPr>
          <w:fldChar w:fldCharType="separate"/>
        </w:r>
        <w:r w:rsidR="00C46CFC">
          <w:rPr>
            <w:noProof/>
            <w:webHidden/>
          </w:rPr>
          <w:t>7</w:t>
        </w:r>
        <w:r w:rsidR="00C46CFC">
          <w:rPr>
            <w:noProof/>
            <w:webHidden/>
          </w:rPr>
          <w:fldChar w:fldCharType="end"/>
        </w:r>
      </w:hyperlink>
    </w:p>
    <w:p w:rsidR="005203B0" w:rsidRDefault="00033714">
      <w:pPr>
        <w:pStyle w:val="TOC1"/>
        <w:rPr>
          <w:rFonts w:asciiTheme="minorHAnsi" w:eastAsiaTheme="minorEastAsia" w:hAnsiTheme="minorHAnsi" w:cstheme="minorBidi"/>
          <w:noProof/>
          <w:sz w:val="22"/>
          <w:szCs w:val="22"/>
          <w:lang w:eastAsia="en-GB"/>
        </w:rPr>
      </w:pPr>
      <w:hyperlink w:anchor="_Toc22128309" w:history="1">
        <w:r w:rsidR="00C46CFC">
          <w:rPr>
            <w:rStyle w:val="Hyperlink"/>
            <w:noProof/>
          </w:rPr>
          <w:t>Glossary</w:t>
        </w:r>
        <w:r w:rsidR="00C46CFC">
          <w:rPr>
            <w:noProof/>
            <w:webHidden/>
          </w:rPr>
          <w:tab/>
        </w:r>
        <w:r w:rsidR="00C46CFC">
          <w:rPr>
            <w:noProof/>
            <w:webHidden/>
          </w:rPr>
          <w:fldChar w:fldCharType="begin"/>
        </w:r>
        <w:r w:rsidR="00C46CFC">
          <w:rPr>
            <w:noProof/>
            <w:webHidden/>
          </w:rPr>
          <w:instrText xml:space="preserve"> PAGEREF _Toc22128309 \h </w:instrText>
        </w:r>
        <w:r w:rsidR="00C46CFC">
          <w:rPr>
            <w:noProof/>
            <w:webHidden/>
          </w:rPr>
        </w:r>
        <w:r w:rsidR="00C46CFC">
          <w:rPr>
            <w:noProof/>
            <w:webHidden/>
          </w:rPr>
          <w:fldChar w:fldCharType="separate"/>
        </w:r>
        <w:r w:rsidR="00C46CFC">
          <w:rPr>
            <w:noProof/>
            <w:webHidden/>
          </w:rPr>
          <w:t>8</w:t>
        </w:r>
        <w:r w:rsidR="00C46CFC">
          <w:rPr>
            <w:noProof/>
            <w:webHidden/>
          </w:rPr>
          <w:fldChar w:fldCharType="end"/>
        </w:r>
      </w:hyperlink>
    </w:p>
    <w:p w:rsidR="005203B0" w:rsidRDefault="00C46CFC">
      <w:pPr>
        <w:pStyle w:val="BodyText0"/>
        <w:tabs>
          <w:tab w:val="right" w:leader="dot" w:pos="7655"/>
          <w:tab w:val="right" w:leader="dot" w:pos="7938"/>
        </w:tabs>
        <w:spacing w:before="120" w:after="0"/>
        <w:ind w:right="1133"/>
        <w:rPr>
          <w:b/>
        </w:rPr>
      </w:pPr>
      <w:r>
        <w:rPr>
          <w:b/>
        </w:rPr>
        <w:fldChar w:fldCharType="end"/>
      </w:r>
      <w:r>
        <w:rPr>
          <w:b/>
        </w:rPr>
        <w:t xml:space="preserve">2. Summary of the Scheme and the Independent Expert’s Report </w:t>
      </w:r>
      <w:r>
        <w:t>(enclosed)</w:t>
      </w:r>
    </w:p>
    <w:p w:rsidR="005203B0" w:rsidRDefault="00C46CFC">
      <w:pPr>
        <w:pStyle w:val="BodyText0"/>
        <w:spacing w:before="120" w:after="0"/>
        <w:ind w:right="1372"/>
        <w:rPr>
          <w:i/>
        </w:rPr>
      </w:pPr>
      <w:r>
        <w:rPr>
          <w:b/>
        </w:rPr>
        <w:t xml:space="preserve">3. Legal Notice </w:t>
      </w:r>
      <w:r>
        <w:t>(enclosed)</w:t>
      </w:r>
    </w:p>
    <w:p w:rsidR="005203B0" w:rsidRDefault="005203B0">
      <w:pPr>
        <w:spacing w:before="240"/>
        <w:ind w:right="1372"/>
      </w:pPr>
    </w:p>
    <w:p w:rsidR="005203B0" w:rsidRDefault="005203B0">
      <w:pPr>
        <w:ind w:right="1372"/>
        <w:sectPr w:rsidR="005203B0">
          <w:headerReference w:type="default" r:id="rId14"/>
          <w:headerReference w:type="first" r:id="rId15"/>
          <w:footerReference w:type="first" r:id="rId16"/>
          <w:pgSz w:w="11907" w:h="16840" w:code="9"/>
          <w:pgMar w:top="1418" w:right="1418" w:bottom="1418" w:left="1418" w:header="851" w:footer="567" w:gutter="0"/>
          <w:pgNumType w:start="1"/>
          <w:cols w:space="708"/>
          <w:docGrid w:linePitch="360"/>
        </w:sectPr>
      </w:pPr>
    </w:p>
    <w:p w:rsidR="005203B0" w:rsidRDefault="00C46CFC">
      <w:pPr>
        <w:pStyle w:val="BodyText0"/>
        <w:ind w:right="1372"/>
        <w:rPr>
          <w:b/>
          <w:sz w:val="34"/>
        </w:rPr>
      </w:pPr>
      <w:r>
        <w:rPr>
          <w:b/>
          <w:sz w:val="34"/>
        </w:rPr>
        <w:lastRenderedPageBreak/>
        <w:t>Your Questions Answered</w:t>
      </w:r>
    </w:p>
    <w:p w:rsidR="005203B0" w:rsidRDefault="00C46CFC">
      <w:pPr>
        <w:pStyle w:val="Legal1L1"/>
        <w:pageBreakBefore w:val="0"/>
        <w:ind w:right="1372"/>
        <w:rPr>
          <w:sz w:val="36"/>
          <w:szCs w:val="36"/>
        </w:rPr>
      </w:pPr>
      <w:r>
        <w:br/>
      </w:r>
      <w:bookmarkStart w:id="1" w:name="_Toc531081487"/>
      <w:bookmarkStart w:id="2" w:name="_Toc22128303"/>
      <w:r>
        <w:rPr>
          <w:sz w:val="36"/>
          <w:szCs w:val="36"/>
        </w:rPr>
        <w:t>General Overview</w:t>
      </w:r>
      <w:bookmarkEnd w:id="1"/>
      <w:bookmarkEnd w:id="2"/>
    </w:p>
    <w:p w:rsidR="005203B0" w:rsidRDefault="00C46CFC">
      <w:pPr>
        <w:pStyle w:val="Legal1L3"/>
        <w:numPr>
          <w:ilvl w:val="0"/>
          <w:numId w:val="0"/>
        </w:numPr>
        <w:ind w:right="1372"/>
      </w:pPr>
      <w:r>
        <w:t>1.1 What are the proposed changes?</w:t>
      </w:r>
    </w:p>
    <w:p w:rsidR="005203B0" w:rsidRDefault="00C46CFC">
      <w:pPr>
        <w:pStyle w:val="BodyTextIndent1"/>
        <w:ind w:right="1372"/>
        <w:jc w:val="both"/>
        <w:rPr>
          <w:lang w:eastAsia="en-GB"/>
        </w:rPr>
      </w:pPr>
      <w:r>
        <w:t>DAS Legal Expenses Insurance Company Limited (</w:t>
      </w:r>
      <w:r>
        <w:rPr>
          <w:rFonts w:cs="Futura PT Book"/>
          <w:b/>
        </w:rPr>
        <w:t>DAS</w:t>
      </w:r>
      <w:r>
        <w:rPr>
          <w:rFonts w:cs="Futura PT Book"/>
        </w:rPr>
        <w:t>)</w:t>
      </w:r>
      <w:r>
        <w:t xml:space="preserve"> has agreed to sell all of the business and assets of its branch in Ireland (other than business in respect of Northern Ireland) to the Irish branch of ARAG Allgemeine Versicherungs-AG (</w:t>
      </w:r>
      <w:r>
        <w:rPr>
          <w:rFonts w:cs="Futura PT Book"/>
          <w:b/>
        </w:rPr>
        <w:t>ARAG</w:t>
      </w:r>
      <w:r>
        <w:rPr>
          <w:rFonts w:cs="Futura PT Book"/>
        </w:rPr>
        <w:t>). The final step of this transaction will be the transfer of all insurance policies written by or on behalf of the Irish branch of DAS (</w:t>
      </w:r>
      <w:r>
        <w:t>other than business in respect of Northern Ireland)</w:t>
      </w:r>
      <w:r>
        <w:rPr>
          <w:rFonts w:cs="Futura PT Book"/>
        </w:rPr>
        <w:t xml:space="preserve"> (the </w:t>
      </w:r>
      <w:r>
        <w:rPr>
          <w:rFonts w:cs="Futura PT Book"/>
          <w:b/>
        </w:rPr>
        <w:t>Transfer</w:t>
      </w:r>
      <w:r>
        <w:rPr>
          <w:rFonts w:cs="Futura PT Book"/>
        </w:rPr>
        <w:t>)</w:t>
      </w:r>
      <w:r>
        <w:rPr>
          <w:lang w:eastAsia="en-GB"/>
        </w:rPr>
        <w:t xml:space="preserve">. </w:t>
      </w:r>
    </w:p>
    <w:p w:rsidR="005203B0" w:rsidRDefault="00C46CFC">
      <w:pPr>
        <w:pStyle w:val="BodyTextIndent1"/>
        <w:ind w:right="1372"/>
        <w:jc w:val="both"/>
      </w:pPr>
      <w:r>
        <w:t xml:space="preserve">This process will be effected by means of a </w:t>
      </w:r>
      <w:r>
        <w:rPr>
          <w:b/>
        </w:rPr>
        <w:t xml:space="preserve">Scheme </w:t>
      </w:r>
      <w:r>
        <w:t>pursuant to Part VII of the Financial Services and Markets Act 2000 (</w:t>
      </w:r>
      <w:r>
        <w:rPr>
          <w:b/>
        </w:rPr>
        <w:t>FSMA</w:t>
      </w:r>
      <w:r>
        <w:t xml:space="preserve">). </w:t>
      </w:r>
    </w:p>
    <w:p w:rsidR="005203B0" w:rsidRDefault="00C46CFC">
      <w:pPr>
        <w:pStyle w:val="Legal1L3"/>
        <w:numPr>
          <w:ilvl w:val="0"/>
          <w:numId w:val="0"/>
        </w:numPr>
        <w:ind w:right="1372"/>
      </w:pPr>
      <w:r>
        <w:t>1.2 When will the Transfer happen?</w:t>
      </w:r>
    </w:p>
    <w:p w:rsidR="005203B0" w:rsidRDefault="00C46CFC">
      <w:pPr>
        <w:pStyle w:val="BodyTextIndent1"/>
        <w:ind w:right="1372"/>
        <w:jc w:val="both"/>
      </w:pPr>
      <w:r>
        <w:t xml:space="preserve">If approved by the High Court of Justice of England and Wales (the </w:t>
      </w:r>
      <w:r>
        <w:rPr>
          <w:b/>
        </w:rPr>
        <w:t>Court</w:t>
      </w:r>
      <w:r>
        <w:t xml:space="preserve">), the Transfer is scheduled to take effect on the </w:t>
      </w:r>
      <w:r>
        <w:rPr>
          <w:b/>
        </w:rPr>
        <w:t>Effective Date</w:t>
      </w:r>
      <w:r>
        <w:t xml:space="preserve">. It is expected that this will be 31 July 2020. </w:t>
      </w:r>
    </w:p>
    <w:p w:rsidR="005203B0" w:rsidRDefault="00C46CFC">
      <w:pPr>
        <w:pStyle w:val="BodyTextIndent1"/>
        <w:ind w:right="1372"/>
        <w:jc w:val="both"/>
        <w:rPr>
          <w:b/>
          <w:i/>
        </w:rPr>
      </w:pPr>
      <w:r>
        <w:t xml:space="preserve">Any change to the expected Effective Date will be announced on the </w:t>
      </w:r>
      <w:r>
        <w:rPr>
          <w:rFonts w:cs="Arial"/>
        </w:rPr>
        <w:t>DAS</w:t>
      </w:r>
      <w:r>
        <w:t xml:space="preserve"> dedicated Transfer website (</w:t>
      </w:r>
      <w:hyperlink r:id="rId17" w:history="1">
        <w:r>
          <w:rPr>
            <w:rStyle w:val="Hyperlink"/>
          </w:rPr>
          <w:t>www.das.co.uk/arag-transfer</w:t>
        </w:r>
      </w:hyperlink>
      <w:r>
        <w:rPr>
          <w:rStyle w:val="Hyperlink"/>
          <w:color w:val="auto"/>
          <w:u w:val="none"/>
        </w:rPr>
        <w:t>) and the ARAG dedicated Transfer website (</w:t>
      </w:r>
      <w:hyperlink r:id="rId18" w:history="1">
        <w:r>
          <w:rPr>
            <w:rStyle w:val="Hyperlink"/>
          </w:rPr>
          <w:t>www.arag.ie/DASIrelandSale</w:t>
        </w:r>
      </w:hyperlink>
      <w:r>
        <w:rPr>
          <w:rStyle w:val="Hyperlink"/>
          <w:color w:val="auto"/>
          <w:u w:val="none"/>
        </w:rPr>
        <w:t>)</w:t>
      </w:r>
      <w:r>
        <w:t>.</w:t>
      </w:r>
    </w:p>
    <w:p w:rsidR="005203B0" w:rsidRDefault="00C46CFC">
      <w:pPr>
        <w:pStyle w:val="Legal1L3"/>
        <w:numPr>
          <w:ilvl w:val="0"/>
          <w:numId w:val="0"/>
        </w:numPr>
        <w:ind w:right="1372"/>
      </w:pPr>
      <w:r>
        <w:t xml:space="preserve">1.3 Which policies are transferring? </w:t>
      </w:r>
    </w:p>
    <w:p w:rsidR="005203B0" w:rsidRDefault="00C46CFC">
      <w:pPr>
        <w:pStyle w:val="BodyTextIndent1"/>
        <w:ind w:right="1372"/>
        <w:jc w:val="both"/>
        <w:rPr>
          <w:lang w:eastAsia="en-GB"/>
        </w:rPr>
      </w:pPr>
      <w:r>
        <w:rPr>
          <w:lang w:eastAsia="en-GB"/>
        </w:rPr>
        <w:t xml:space="preserve">The Transferor provides legal expenses insurance in the UK and through its branch in Ireland. The Transferor will continue writing legal expenses business in the UK (including Northern Ireland) following the Transfer. </w:t>
      </w:r>
    </w:p>
    <w:p w:rsidR="005203B0" w:rsidRDefault="00C46CFC">
      <w:pPr>
        <w:pStyle w:val="BodyTextIndent1"/>
        <w:ind w:right="1372"/>
        <w:jc w:val="both"/>
      </w:pPr>
      <w:r>
        <w:rPr>
          <w:lang w:eastAsia="en-GB"/>
        </w:rPr>
        <w:t xml:space="preserve">As part of strategic restructuring of its business DAS has decided to cease writing business in Ireland and has agreed to transfer all of the </w:t>
      </w:r>
      <w:r>
        <w:t xml:space="preserve">business and assets of its </w:t>
      </w:r>
      <w:r>
        <w:rPr>
          <w:lang w:eastAsia="en-GB"/>
        </w:rPr>
        <w:t xml:space="preserve">Irish branch </w:t>
      </w:r>
      <w:r>
        <w:t>(other than business in respect of Northern Ireland)</w:t>
      </w:r>
      <w:r>
        <w:rPr>
          <w:lang w:eastAsia="en-GB"/>
        </w:rPr>
        <w:t xml:space="preserve"> to the ARAG Irish Branch. Northern Irish business will continue to be managed from DAS’ head office in Bristol following 31 July 2020. </w:t>
      </w:r>
    </w:p>
    <w:p w:rsidR="005203B0" w:rsidRDefault="00C46CFC">
      <w:pPr>
        <w:pStyle w:val="BodyTextIndent1"/>
        <w:ind w:right="1372"/>
        <w:jc w:val="both"/>
        <w:rPr>
          <w:rFonts w:cs="Arial"/>
        </w:rPr>
      </w:pPr>
      <w:r>
        <w:rPr>
          <w:rFonts w:cs="Arial"/>
        </w:rPr>
        <w:t xml:space="preserve">The Transfer includes all of the general insurance business (being “after the event” and “before the event” legal expenses insurance and breakdown insurance business) written by or on behalf of DAS in the Republic of Ireland and carried on by DAS’ Irish branch </w:t>
      </w:r>
      <w:r>
        <w:rPr>
          <w:lang w:eastAsia="en-GB"/>
        </w:rPr>
        <w:t xml:space="preserve">(the </w:t>
      </w:r>
      <w:r>
        <w:rPr>
          <w:b/>
          <w:lang w:eastAsia="en-GB"/>
        </w:rPr>
        <w:t>Transferring Policies</w:t>
      </w:r>
      <w:r>
        <w:rPr>
          <w:lang w:eastAsia="en-GB"/>
        </w:rPr>
        <w:t>)</w:t>
      </w:r>
      <w:r>
        <w:rPr>
          <w:rFonts w:cs="Arial"/>
        </w:rPr>
        <w:t>.</w:t>
      </w:r>
    </w:p>
    <w:p w:rsidR="005203B0" w:rsidRDefault="00C46CFC">
      <w:pPr>
        <w:pStyle w:val="Legal1L3"/>
        <w:numPr>
          <w:ilvl w:val="0"/>
          <w:numId w:val="0"/>
        </w:numPr>
        <w:ind w:right="1372"/>
      </w:pPr>
      <w:r>
        <w:t xml:space="preserve">1.4 Why is DAS doing this? </w:t>
      </w:r>
    </w:p>
    <w:p w:rsidR="005203B0" w:rsidRDefault="00C46CFC">
      <w:pPr>
        <w:pStyle w:val="BodyTextIndent1"/>
        <w:ind w:right="1372"/>
        <w:jc w:val="both"/>
        <w:rPr>
          <w:color w:val="000000"/>
          <w:lang w:eastAsia="en-GB"/>
        </w:rPr>
      </w:pPr>
      <w:r>
        <w:rPr>
          <w:color w:val="000000"/>
          <w:lang w:eastAsia="en-GB"/>
        </w:rPr>
        <w:t>As part of a strategic reassessment of its business in light of the UK’s decision to exit the European Union (</w:t>
      </w:r>
      <w:r>
        <w:rPr>
          <w:b/>
          <w:color w:val="000000"/>
          <w:lang w:eastAsia="en-GB"/>
        </w:rPr>
        <w:t>Brexit</w:t>
      </w:r>
      <w:r>
        <w:rPr>
          <w:color w:val="000000"/>
          <w:lang w:eastAsia="en-GB"/>
        </w:rPr>
        <w:t xml:space="preserve">), DAS has decided to focus on its UK operations and entered into an agreement with ARAG on 26 February 2019 to transfer the </w:t>
      </w:r>
      <w:r>
        <w:rPr>
          <w:color w:val="000000"/>
          <w:lang w:eastAsia="en-GB"/>
        </w:rPr>
        <w:lastRenderedPageBreak/>
        <w:t xml:space="preserve">Transferring Policies to the ARAG Irish Branch. Accordingly, with effect from </w:t>
      </w:r>
      <w:r>
        <w:t xml:space="preserve">1 December 2019 </w:t>
      </w:r>
      <w:r>
        <w:rPr>
          <w:color w:val="000000"/>
          <w:lang w:eastAsia="en-GB"/>
        </w:rPr>
        <w:t xml:space="preserve">DAS ceased writing new insurance policies in Ireland. </w:t>
      </w:r>
    </w:p>
    <w:p w:rsidR="005203B0" w:rsidRDefault="00C46CFC">
      <w:pPr>
        <w:pStyle w:val="BodyTextIndent1"/>
        <w:ind w:right="1372"/>
        <w:jc w:val="both"/>
        <w:rPr>
          <w:color w:val="000000"/>
          <w:lang w:eastAsia="en-GB"/>
        </w:rPr>
      </w:pPr>
      <w:r>
        <w:rPr>
          <w:color w:val="000000"/>
          <w:lang w:eastAsia="en-GB"/>
        </w:rPr>
        <w:t>You will be offered the opportunity to renew your policy with ARAG when it expires, however you are not required to purchase a new policy with ARAG.</w:t>
      </w:r>
    </w:p>
    <w:p w:rsidR="005203B0" w:rsidRDefault="00C46CFC">
      <w:pPr>
        <w:pStyle w:val="BodyTextIndent1"/>
        <w:ind w:right="1372"/>
        <w:jc w:val="both"/>
        <w:rPr>
          <w:b/>
          <w:color w:val="000000"/>
          <w:lang w:eastAsia="en-GB"/>
        </w:rPr>
      </w:pPr>
      <w:r>
        <w:rPr>
          <w:b/>
          <w:color w:val="000000"/>
          <w:lang w:eastAsia="en-GB"/>
        </w:rPr>
        <w:t xml:space="preserve">1.5 Why have I received two (or more) copies of this letter? </w:t>
      </w:r>
    </w:p>
    <w:p w:rsidR="005203B0" w:rsidRDefault="00C46CFC">
      <w:pPr>
        <w:pStyle w:val="BodyTextIndent1"/>
        <w:ind w:right="1372"/>
        <w:jc w:val="both"/>
        <w:rPr>
          <w:color w:val="000000"/>
          <w:lang w:eastAsia="en-GB"/>
        </w:rPr>
      </w:pPr>
      <w:r>
        <w:rPr>
          <w:color w:val="000000"/>
          <w:lang w:eastAsia="en-GB"/>
        </w:rPr>
        <w:t xml:space="preserve">If you have purchased a policy from more than one of our partner organisations, you may receive a letter from each partner organisation. In addition, you may also receive an additional letter if you have an outstanding claim. </w:t>
      </w:r>
    </w:p>
    <w:p w:rsidR="005203B0" w:rsidRDefault="00C46CFC">
      <w:pPr>
        <w:pStyle w:val="BodyTextIndent1"/>
        <w:ind w:right="1372"/>
        <w:jc w:val="both"/>
        <w:rPr>
          <w:b/>
        </w:rPr>
      </w:pPr>
      <w:r>
        <w:rPr>
          <w:b/>
        </w:rPr>
        <w:t>Please refer to the glossary at the back of this document for a list of defined terms.</w:t>
      </w:r>
    </w:p>
    <w:p w:rsidR="005203B0" w:rsidRDefault="005203B0">
      <w:pPr>
        <w:pStyle w:val="BodyTextIndent1"/>
        <w:ind w:right="1372"/>
        <w:jc w:val="both"/>
      </w:pPr>
    </w:p>
    <w:p w:rsidR="005203B0" w:rsidRDefault="005203B0">
      <w:pPr>
        <w:pStyle w:val="BodyTextIndent1"/>
        <w:ind w:right="1372"/>
        <w:jc w:val="both"/>
      </w:pPr>
    </w:p>
    <w:p w:rsidR="005203B0" w:rsidRDefault="00C46CFC">
      <w:pPr>
        <w:spacing w:after="0"/>
        <w:jc w:val="left"/>
        <w:rPr>
          <w:rFonts w:cs="Times New Roman"/>
          <w:szCs w:val="20"/>
          <w:lang w:eastAsia="en-CA"/>
        </w:rPr>
      </w:pPr>
      <w:r>
        <w:br w:type="page"/>
      </w:r>
    </w:p>
    <w:p w:rsidR="005203B0" w:rsidRDefault="005203B0">
      <w:pPr>
        <w:pStyle w:val="BodyTextIndent1"/>
        <w:ind w:right="1372"/>
        <w:jc w:val="both"/>
      </w:pPr>
    </w:p>
    <w:p w:rsidR="005203B0" w:rsidRDefault="00C46CFC">
      <w:pPr>
        <w:pStyle w:val="Legal1L1"/>
        <w:pageBreakBefore w:val="0"/>
        <w:ind w:right="1372"/>
        <w:rPr>
          <w:sz w:val="36"/>
          <w:szCs w:val="36"/>
        </w:rPr>
      </w:pPr>
      <w:r>
        <w:br/>
      </w:r>
      <w:bookmarkStart w:id="3" w:name="_Toc531081488"/>
      <w:bookmarkStart w:id="4" w:name="_Toc22128304"/>
      <w:r>
        <w:rPr>
          <w:sz w:val="36"/>
          <w:szCs w:val="36"/>
        </w:rPr>
        <w:t xml:space="preserve">More about </w:t>
      </w:r>
      <w:bookmarkEnd w:id="3"/>
      <w:r>
        <w:rPr>
          <w:sz w:val="36"/>
          <w:szCs w:val="36"/>
        </w:rPr>
        <w:t>ARAG</w:t>
      </w:r>
      <w:bookmarkEnd w:id="4"/>
      <w:r>
        <w:rPr>
          <w:sz w:val="36"/>
          <w:szCs w:val="36"/>
        </w:rPr>
        <w:t xml:space="preserve"> </w:t>
      </w:r>
    </w:p>
    <w:p w:rsidR="005203B0" w:rsidRDefault="00C46CFC">
      <w:pPr>
        <w:pStyle w:val="Legal1L3"/>
        <w:keepNext/>
        <w:numPr>
          <w:ilvl w:val="0"/>
          <w:numId w:val="0"/>
        </w:numPr>
        <w:ind w:right="1372"/>
      </w:pPr>
      <w:r>
        <w:t>2.1 Who is ARAG?</w:t>
      </w:r>
    </w:p>
    <w:p w:rsidR="005203B0" w:rsidRDefault="00C46CFC">
      <w:pPr>
        <w:pStyle w:val="BodyTextIndent1"/>
        <w:ind w:right="1372"/>
        <w:jc w:val="both"/>
      </w:pPr>
      <w:r>
        <w:t>ARAG was incorporated in Düsseldorf, Germany on 5 January 1962</w:t>
      </w:r>
      <w:r>
        <w:rPr>
          <w:b/>
          <w:i/>
        </w:rPr>
        <w:t xml:space="preserve"> </w:t>
      </w:r>
      <w:r>
        <w:t>and holds multiple insurances licence issued by the German supervisory authority for insurance companies called Bundesanstalt für Finanzdienstleistungsaufsicht (</w:t>
      </w:r>
      <w:r>
        <w:rPr>
          <w:b/>
        </w:rPr>
        <w:t>BaFin</w:t>
      </w:r>
      <w:r>
        <w:t>). ARAG belongs to the ARAG Group which is a family held group conducting insurance business through various group companies and branches in 19 countries worldwide and being specialised in legal expense insurance.</w:t>
      </w:r>
    </w:p>
    <w:p w:rsidR="005203B0" w:rsidRDefault="00C46CFC">
      <w:pPr>
        <w:pStyle w:val="BodyTextIndent1"/>
        <w:ind w:right="1372"/>
        <w:jc w:val="both"/>
      </w:pPr>
      <w:r>
        <w:t xml:space="preserve">ARAG has recently established a branch in Ireland with offices in Dublin which will continue the business previously carried on by DAS’ Irish branch going forward. </w:t>
      </w:r>
    </w:p>
    <w:p w:rsidR="005203B0" w:rsidRDefault="00C46CFC">
      <w:pPr>
        <w:pStyle w:val="BodyTextIndent1"/>
        <w:ind w:right="1372"/>
        <w:jc w:val="both"/>
      </w:pPr>
      <w:r>
        <w:t xml:space="preserve">You can find more about ARAG by visiting </w:t>
      </w:r>
      <w:hyperlink r:id="rId19" w:history="1">
        <w:r>
          <w:rPr>
            <w:rStyle w:val="Hyperlink"/>
          </w:rPr>
          <w:t>www.arag.com</w:t>
        </w:r>
      </w:hyperlink>
      <w:r>
        <w:t xml:space="preserve">. </w:t>
      </w:r>
    </w:p>
    <w:p w:rsidR="005203B0" w:rsidRDefault="00C46CFC">
      <w:pPr>
        <w:pStyle w:val="Legal1L3"/>
        <w:numPr>
          <w:ilvl w:val="0"/>
          <w:numId w:val="0"/>
        </w:numPr>
        <w:ind w:right="1372"/>
      </w:pPr>
      <w:r>
        <w:t>2.2 How will ARAG administer my policy?</w:t>
      </w:r>
    </w:p>
    <w:p w:rsidR="005203B0" w:rsidRDefault="00C46CFC">
      <w:pPr>
        <w:pStyle w:val="BodyTextIndent1"/>
        <w:ind w:right="1372"/>
        <w:jc w:val="both"/>
      </w:pPr>
      <w:r>
        <w:t>Pursuant to the terms of an agreement between DAS and ARAG</w:t>
      </w:r>
      <w:r>
        <w:rPr>
          <w:color w:val="000000"/>
          <w:lang w:eastAsia="en-GB"/>
        </w:rPr>
        <w:t xml:space="preserve">, with effect from </w:t>
      </w:r>
      <w:r>
        <w:t>1 December 2019,</w:t>
      </w:r>
      <w:r>
        <w:rPr>
          <w:color w:val="000000"/>
          <w:lang w:eastAsia="en-GB"/>
        </w:rPr>
        <w:t xml:space="preserve"> ARAG assumed the responsibility for claims handling and the day to day management and administration of the Transferring Policies. </w:t>
      </w:r>
    </w:p>
    <w:p w:rsidR="005203B0" w:rsidRDefault="00C46CFC">
      <w:pPr>
        <w:pStyle w:val="BodyTextIndent1"/>
        <w:ind w:right="1372"/>
        <w:jc w:val="both"/>
        <w:rPr>
          <w:color w:val="000000"/>
          <w:lang w:eastAsia="en-GB"/>
        </w:rPr>
      </w:pPr>
      <w:r>
        <w:t>ARAG will continue to administer the Transferring Policies after the Effective Date in the same way as they are currently administered, in line with the systems, policies and procedures previously used by DAS for its Irish operations (as the same may be updated from time to time). In particular, there will be continuity in terms of personnel as, subject to the completion of appropriate employee consultation procedures in relation to any transfer of their employment, the same employees who were previously employed by DAS will be joining ARAG in Ireland and will continue to administer the Transferring Policies after the Effective Date.</w:t>
      </w:r>
      <w:r>
        <w:rPr>
          <w:color w:val="000000"/>
          <w:lang w:eastAsia="en-GB"/>
        </w:rPr>
        <w:t xml:space="preserve"> </w:t>
      </w:r>
    </w:p>
    <w:p w:rsidR="005203B0" w:rsidRDefault="00C46CFC">
      <w:pPr>
        <w:pStyle w:val="BodyTextIndent1"/>
        <w:ind w:right="1372"/>
        <w:jc w:val="both"/>
        <w:rPr>
          <w:color w:val="000000"/>
          <w:lang w:eastAsia="en-GB"/>
        </w:rPr>
      </w:pPr>
      <w:r>
        <w:rPr>
          <w:color w:val="000000"/>
          <w:lang w:eastAsia="en-GB"/>
        </w:rPr>
        <w:t xml:space="preserve">If your policy or policies are due to expire before </w:t>
      </w:r>
      <w:r>
        <w:rPr>
          <w:lang w:eastAsia="en-GB"/>
        </w:rPr>
        <w:t>31 July 2020</w:t>
      </w:r>
      <w:r>
        <w:rPr>
          <w:color w:val="000000"/>
          <w:lang w:eastAsia="en-GB"/>
        </w:rPr>
        <w:t xml:space="preserve">, you will be offered the opportunity to renew your policy with the ARAG Irish Branch, however, you are not required to purchase a new policy with the ARAG Irish Branch. </w:t>
      </w:r>
    </w:p>
    <w:p w:rsidR="005203B0" w:rsidRDefault="005203B0">
      <w:pPr>
        <w:pStyle w:val="BodyTextIndent1"/>
        <w:ind w:right="1372"/>
        <w:jc w:val="both"/>
        <w:rPr>
          <w:b/>
        </w:rPr>
      </w:pPr>
    </w:p>
    <w:p w:rsidR="005203B0" w:rsidRDefault="00C46CFC">
      <w:pPr>
        <w:pStyle w:val="Legal1L1"/>
        <w:ind w:right="1372"/>
        <w:rPr>
          <w:sz w:val="36"/>
          <w:szCs w:val="36"/>
        </w:rPr>
      </w:pPr>
      <w:r>
        <w:br/>
      </w:r>
      <w:bookmarkStart w:id="5" w:name="_Toc531081489"/>
      <w:bookmarkStart w:id="6" w:name="_Toc22128305"/>
      <w:r>
        <w:rPr>
          <w:sz w:val="36"/>
          <w:szCs w:val="36"/>
        </w:rPr>
        <w:t>More about the Transfer Process</w:t>
      </w:r>
      <w:bookmarkEnd w:id="5"/>
      <w:bookmarkEnd w:id="6"/>
    </w:p>
    <w:p w:rsidR="005203B0" w:rsidRDefault="00C46CFC">
      <w:pPr>
        <w:pStyle w:val="Legal1L3"/>
        <w:numPr>
          <w:ilvl w:val="0"/>
          <w:numId w:val="0"/>
        </w:numPr>
        <w:ind w:right="1372"/>
      </w:pPr>
      <w:r>
        <w:t>3.1 What is the Transfer?</w:t>
      </w:r>
    </w:p>
    <w:p w:rsidR="005203B0" w:rsidRDefault="00C46CFC">
      <w:pPr>
        <w:pStyle w:val="BodyTextIndent1"/>
        <w:ind w:right="1372"/>
        <w:jc w:val="both"/>
      </w:pPr>
      <w:r>
        <w:t xml:space="preserve">The Transfer is governed by a process under Part VII of FSMA that enables groups of insurance policies to be moved between two insurers. The insurers involved can either be in the same insurance group or from different corporate groups. An application must be approved by the Court before the Transfer can go ahead. The applicable regulations require DAS and ARAG to appoint an Independent Expert, approved by the Regulators, who looks at the impact of the Transfer on the various groups of affected policyholders, and submits a report to the Court. Policyholders must be notified and given time to consider the proposals, and they have a right to object or raise concerns if they feel they would be adversely affected. </w:t>
      </w:r>
    </w:p>
    <w:p w:rsidR="005203B0" w:rsidRDefault="00C46CFC">
      <w:pPr>
        <w:pStyle w:val="Legal1L3"/>
        <w:numPr>
          <w:ilvl w:val="0"/>
          <w:numId w:val="0"/>
        </w:numPr>
        <w:ind w:right="1372"/>
      </w:pPr>
      <w:r>
        <w:t>3.2 Where and when will the Court Hearing take place?</w:t>
      </w:r>
    </w:p>
    <w:p w:rsidR="005203B0" w:rsidRDefault="00C46CFC">
      <w:pPr>
        <w:pStyle w:val="BodyTextIndent1"/>
        <w:ind w:right="1372"/>
        <w:jc w:val="both"/>
      </w:pPr>
      <w:r>
        <w:t xml:space="preserve">The Court Hearing will be at the </w:t>
      </w:r>
      <w:r>
        <w:rPr>
          <w:b/>
        </w:rPr>
        <w:t>High Court of Justice, 7 Rolls Building, Fetter Lane, London EC4A 1NL, UK</w:t>
      </w:r>
      <w:r>
        <w:t xml:space="preserve"> on 28 July 2020.  </w:t>
      </w:r>
    </w:p>
    <w:p w:rsidR="005203B0" w:rsidRDefault="00C46CFC">
      <w:pPr>
        <w:pStyle w:val="BodyTextIndent1"/>
        <w:ind w:right="1372"/>
        <w:jc w:val="both"/>
        <w:rPr>
          <w:color w:val="000000" w:themeColor="text1"/>
        </w:rPr>
      </w:pPr>
      <w:r>
        <w:t xml:space="preserve">You will be able to find information about the outcome of the hearing on the DAS dedicated Transfer website at </w:t>
      </w:r>
      <w:hyperlink r:id="rId20" w:history="1">
        <w:r>
          <w:rPr>
            <w:rStyle w:val="Hyperlink"/>
          </w:rPr>
          <w:t>www.das.co.uk/arag-transfer</w:t>
        </w:r>
      </w:hyperlink>
      <w:r>
        <w:t xml:space="preserve"> or the ARAG dedicated Transfer website at </w:t>
      </w:r>
      <w:hyperlink r:id="rId21" w:history="1">
        <w:r>
          <w:rPr>
            <w:rStyle w:val="Hyperlink"/>
          </w:rPr>
          <w:t>www.arag.ie/DASIrelandSale</w:t>
        </w:r>
      </w:hyperlink>
      <w:r>
        <w:t xml:space="preserve"> or by calling the helpline, </w:t>
      </w:r>
      <w:r>
        <w:rPr>
          <w:rFonts w:cs="Arial"/>
        </w:rPr>
        <w:t xml:space="preserve">on </w:t>
      </w:r>
      <w:r>
        <w:t>+353</w:t>
      </w:r>
      <w:r>
        <w:rPr>
          <w:rStyle w:val="Prompt"/>
          <w:color w:val="auto"/>
        </w:rPr>
        <w:t xml:space="preserve">(0)1 8818080 (Ireland) or </w:t>
      </w:r>
      <w:r>
        <w:t>+44(0)117 934 2000 (UK)</w:t>
      </w:r>
      <w:r>
        <w:rPr>
          <w:rFonts w:cs="Arial"/>
        </w:rPr>
        <w:t xml:space="preserve"> available between 9am to 5pm Monday to Friday (excluding public holidays). </w:t>
      </w:r>
      <w:r>
        <w:t>Callers outside of these hours will be able to leave a message and request that their call is returned.</w:t>
      </w:r>
      <w:r>
        <w:rPr>
          <w:color w:val="000000" w:themeColor="text1"/>
        </w:rPr>
        <w:t xml:space="preserve"> </w:t>
      </w:r>
    </w:p>
    <w:p w:rsidR="005203B0" w:rsidRDefault="00C46CFC">
      <w:pPr>
        <w:pStyle w:val="BodyTextIndent1"/>
        <w:ind w:right="1372"/>
        <w:jc w:val="both"/>
      </w:pPr>
      <w:r>
        <w:t>Please note that the details above are to be used for enquires about the Transfer only. If you have any general questions about your policy, please call your usual  contact.</w:t>
      </w:r>
    </w:p>
    <w:p w:rsidR="005203B0" w:rsidRDefault="00C46CFC">
      <w:pPr>
        <w:pStyle w:val="Legal1L3"/>
        <w:keepNext/>
        <w:numPr>
          <w:ilvl w:val="0"/>
          <w:numId w:val="0"/>
        </w:numPr>
        <w:ind w:right="1372"/>
      </w:pPr>
      <w:r>
        <w:t>3.3 What will happen at the Court Hearing?</w:t>
      </w:r>
    </w:p>
    <w:p w:rsidR="005203B0" w:rsidRDefault="00C46CFC">
      <w:pPr>
        <w:pStyle w:val="BodyTextIndent1"/>
        <w:ind w:right="1372"/>
        <w:jc w:val="both"/>
      </w:pPr>
      <w:r>
        <w:t xml:space="preserve">The Court will consider whether the Transfer adversely affects policyholders and other interested parties such as reinsurers whether it is appropriate to allow the Transfer. The judge will review the witness statements and evidence presented by DAS and ARAG, and consider the reports of the Independent Expert and the Regulators. Time will be allocated to hear any objections or concerns put forward (whether in writing, by telephone, or in person) by affected policyholders or any other person who believes that they would be adversely affected by the proposals. The judge must decide whether or not it is appropriate to approve the Transfer, taking all of the evidence into account. If the judge does approve the Transfer, then a Court Order is made which means the Scheme will come into effect at a time specified in the Order. </w:t>
      </w:r>
    </w:p>
    <w:p w:rsidR="005203B0" w:rsidRDefault="00C46CFC">
      <w:pPr>
        <w:pStyle w:val="Legal1L3"/>
        <w:numPr>
          <w:ilvl w:val="0"/>
          <w:numId w:val="0"/>
        </w:numPr>
        <w:ind w:right="1372"/>
      </w:pPr>
      <w:r>
        <w:t>3.4 What can you do if you believe you may be adversely affected?</w:t>
      </w:r>
    </w:p>
    <w:p w:rsidR="005203B0" w:rsidRDefault="00C46CFC">
      <w:pPr>
        <w:pStyle w:val="BodyTextIndent1"/>
        <w:ind w:right="1372"/>
        <w:jc w:val="both"/>
        <w:rPr>
          <w:b/>
          <w:i/>
        </w:rPr>
      </w:pPr>
      <w:r>
        <w:t xml:space="preserve">If you believe you may be adversely affected as a result of the Transfer, then you are entitled to object or raise your concerns either in writing or by telephone in advance, or in person at the Court Hearing. You may choose to appoint legal counsel to attend the Court Hearing on your behalf. </w:t>
      </w:r>
    </w:p>
    <w:p w:rsidR="005203B0" w:rsidRDefault="00C46CFC">
      <w:pPr>
        <w:pStyle w:val="BodyText0"/>
      </w:pPr>
      <w:r>
        <w:t>You can:</w:t>
      </w:r>
    </w:p>
    <w:p w:rsidR="005203B0" w:rsidRDefault="00C46CFC">
      <w:pPr>
        <w:pStyle w:val="BodyTextIndent1"/>
        <w:numPr>
          <w:ilvl w:val="0"/>
          <w:numId w:val="26"/>
        </w:numPr>
        <w:ind w:right="1372"/>
        <w:jc w:val="both"/>
      </w:pPr>
      <w:r>
        <w:t>call the helpline, on +353</w:t>
      </w:r>
      <w:r>
        <w:rPr>
          <w:rStyle w:val="Prompt"/>
          <w:color w:val="auto"/>
        </w:rPr>
        <w:t xml:space="preserve">(0)1 8818080 (Ireland) or </w:t>
      </w:r>
      <w:r>
        <w:t xml:space="preserve">+44(0)117 934 2000 (UK) available between 9am to 5pm Monday to Friday (excluding public holidays). Callers outside of these hours will be able to leave a message and request that their call is returned; </w:t>
      </w:r>
    </w:p>
    <w:p w:rsidR="005203B0" w:rsidRDefault="00C46CFC">
      <w:pPr>
        <w:pStyle w:val="BodyText0"/>
        <w:numPr>
          <w:ilvl w:val="0"/>
          <w:numId w:val="26"/>
        </w:numPr>
        <w:spacing w:line="240" w:lineRule="auto"/>
        <w:jc w:val="both"/>
        <w:rPr>
          <w:rFonts w:cs="Arial"/>
        </w:rPr>
      </w:pPr>
      <w:r>
        <w:t xml:space="preserve">write to us </w:t>
      </w:r>
      <w:r>
        <w:rPr>
          <w:rFonts w:cs="Arial"/>
        </w:rPr>
        <w:t xml:space="preserve">at: </w:t>
      </w:r>
    </w:p>
    <w:p w:rsidR="005203B0" w:rsidRDefault="00C46CFC">
      <w:pPr>
        <w:pStyle w:val="BodyText0"/>
        <w:numPr>
          <w:ilvl w:val="0"/>
          <w:numId w:val="28"/>
        </w:numPr>
        <w:spacing w:line="240" w:lineRule="auto"/>
        <w:ind w:left="1134"/>
        <w:jc w:val="both"/>
        <w:rPr>
          <w:rFonts w:cs="Arial"/>
        </w:rPr>
      </w:pPr>
      <w:r>
        <w:rPr>
          <w:rFonts w:cs="Arial"/>
          <w:u w:val="single"/>
        </w:rPr>
        <w:t>Ireland</w:t>
      </w:r>
      <w:r>
        <w:rPr>
          <w:rFonts w:cs="Arial"/>
        </w:rPr>
        <w:t xml:space="preserve">: ARAG Legal Protection, Europa House, Harcourt Centre, Harcourt Street, Dublin D02 WR20, Ireland; or </w:t>
      </w:r>
    </w:p>
    <w:p w:rsidR="005203B0" w:rsidRDefault="00C46CFC">
      <w:pPr>
        <w:pStyle w:val="BodyText0"/>
        <w:numPr>
          <w:ilvl w:val="0"/>
          <w:numId w:val="28"/>
        </w:numPr>
        <w:spacing w:line="240" w:lineRule="auto"/>
        <w:ind w:left="1134"/>
        <w:jc w:val="both"/>
        <w:rPr>
          <w:rFonts w:cs="Arial"/>
        </w:rPr>
      </w:pPr>
      <w:r>
        <w:rPr>
          <w:rFonts w:cs="Arial"/>
          <w:u w:val="single"/>
        </w:rPr>
        <w:t>UK</w:t>
      </w:r>
      <w:r>
        <w:rPr>
          <w:rFonts w:cs="Arial"/>
        </w:rPr>
        <w:t xml:space="preserve">: DAS Legal Expenses Insurance Company Limited, DAS House, Quay Side, Temple Back, Bristol BS1 6NH, United Kingdom; or </w:t>
      </w:r>
    </w:p>
    <w:p w:rsidR="005203B0" w:rsidRDefault="00C46CFC">
      <w:pPr>
        <w:pStyle w:val="BodyText0"/>
        <w:numPr>
          <w:ilvl w:val="0"/>
          <w:numId w:val="26"/>
        </w:numPr>
        <w:spacing w:line="240" w:lineRule="auto"/>
        <w:jc w:val="both"/>
      </w:pPr>
      <w:r>
        <w:t xml:space="preserve">e-mail us at: </w:t>
      </w:r>
      <w:hyperlink r:id="rId22" w:history="1">
        <w:r>
          <w:rPr>
            <w:rStyle w:val="Hyperlink"/>
          </w:rPr>
          <w:t>customerrelations@das.co.uk</w:t>
        </w:r>
      </w:hyperlink>
      <w:r>
        <w:t xml:space="preserve"> or </w:t>
      </w:r>
      <w:hyperlink r:id="rId23" w:history="1">
        <w:r>
          <w:rPr>
            <w:rStyle w:val="Hyperlink"/>
          </w:rPr>
          <w:t>DASIrelandSale@arag.ie</w:t>
        </w:r>
      </w:hyperlink>
      <w:r>
        <w:rPr>
          <w:i/>
        </w:rPr>
        <w:t xml:space="preserve">. </w:t>
      </w:r>
    </w:p>
    <w:p w:rsidR="005203B0" w:rsidRDefault="00C46CFC">
      <w:pPr>
        <w:pStyle w:val="BodyTextIndent1"/>
        <w:ind w:right="1372"/>
        <w:jc w:val="both"/>
        <w:rPr>
          <w:b/>
        </w:rPr>
      </w:pPr>
      <w:r>
        <w:rPr>
          <w:b/>
        </w:rPr>
        <w:t xml:space="preserve">Any objections or concerns relating to the Transfer notified to us by telephone or in writing will also be included in the information supplied to the Court. Should you need any further information or if you have any questions or concerns about the Transfer or consider that you may be adversely affected, then please contact us as soon as possible and preferably no later than 21 July 2020.  </w:t>
      </w:r>
    </w:p>
    <w:p w:rsidR="005203B0" w:rsidRDefault="00C46CFC">
      <w:pPr>
        <w:pStyle w:val="BodyTextIndent1"/>
        <w:ind w:right="1372"/>
        <w:jc w:val="both"/>
      </w:pPr>
      <w:r>
        <w:t>In light of current government guidelines regarding Covid-19, please note that it is possible that the hearing may take place remotely via Skype or another teleconferencing service. It is requested if you intend on attending the hearing (whether in person or via their representative), you inform DAS and ARAG in writing (using the contact details set out above) as soon as possible and preferably before 21 July 2020 to set out the nature of your objection. This will enable us to provide notification of any changes to the hearing (including any details necessary to attend the hearing if it is to be held remotely) and, where possible, to address any concerns raised in advance of the hearing.</w:t>
      </w:r>
    </w:p>
    <w:p w:rsidR="005203B0" w:rsidRDefault="00C46CFC">
      <w:pPr>
        <w:pStyle w:val="BodyTextIndent1"/>
        <w:ind w:right="1372"/>
        <w:jc w:val="both"/>
      </w:pPr>
      <w:r>
        <w:t>Please note that the details above are to be used for enquires about the Transfer only. If you have any general questions about your policy, please call your usual contact.</w:t>
      </w:r>
    </w:p>
    <w:p w:rsidR="005203B0" w:rsidRDefault="00C46CFC">
      <w:pPr>
        <w:pStyle w:val="Legal1L3"/>
        <w:keepNext/>
        <w:numPr>
          <w:ilvl w:val="0"/>
          <w:numId w:val="0"/>
        </w:numPr>
        <w:ind w:right="1372"/>
      </w:pPr>
      <w:r>
        <w:t>3.5 What do you mean by 'adversely affected'?</w:t>
      </w:r>
    </w:p>
    <w:p w:rsidR="005203B0" w:rsidRDefault="00C46CFC">
      <w:pPr>
        <w:pStyle w:val="BodyTextIndent1"/>
        <w:ind w:right="1372"/>
        <w:jc w:val="both"/>
      </w:pPr>
      <w:r>
        <w:t>Any types of effect on policyholders may be considered by the Court. This includes changes to the financial security of the companies involved, or changes to the administration of the Transferring Policies. If there are some changes for the worse, this does not necessarily mean that the Transfer is unfair or unreasonable, as they might be outweighed by other benefits, or they might be extremely small, or they may only occur infrequently. The Independent Expert has considered the materiality of any adverse changes based on their size or likelihood of occurring and provides her conclusions in her</w:t>
      </w:r>
      <w:r>
        <w:rPr>
          <w:b/>
        </w:rPr>
        <w:t xml:space="preserve"> </w:t>
      </w:r>
      <w:r>
        <w:t xml:space="preserve">Report. </w:t>
      </w:r>
    </w:p>
    <w:p w:rsidR="005203B0" w:rsidRDefault="00C46CFC">
      <w:pPr>
        <w:pStyle w:val="BodyTextIndent1"/>
        <w:ind w:right="1372"/>
        <w:jc w:val="both"/>
      </w:pPr>
      <w:r>
        <w:t>Please refer to the enclosed summary of the Independent Expert’s Report and paragraph 5.4 below for an assessment of the adverse effects of the Transfer.</w:t>
      </w:r>
    </w:p>
    <w:p w:rsidR="005203B0" w:rsidRDefault="00C46CFC">
      <w:pPr>
        <w:pStyle w:val="Legal1L3"/>
        <w:numPr>
          <w:ilvl w:val="0"/>
          <w:numId w:val="0"/>
        </w:numPr>
        <w:ind w:right="1372"/>
      </w:pPr>
      <w:r>
        <w:t>3.6 What will happen if the Court does not approve the Transfer?</w:t>
      </w:r>
    </w:p>
    <w:p w:rsidR="005203B0" w:rsidRDefault="00C46CFC">
      <w:pPr>
        <w:pStyle w:val="BodyTextIndent1"/>
        <w:ind w:right="1372"/>
        <w:jc w:val="both"/>
      </w:pPr>
      <w:r>
        <w:t>If the Transfer is rejected, your policy will remain with DAS but ARAG will continue to administer your policy or any claim you have made until the expiry of the policy or (if applicable) the conclusion of your claim.</w:t>
      </w:r>
    </w:p>
    <w:p w:rsidR="005203B0" w:rsidRDefault="00C46CFC">
      <w:pPr>
        <w:pStyle w:val="BodyTextIndent1"/>
        <w:ind w:right="1372"/>
        <w:jc w:val="both"/>
      </w:pPr>
      <w:r>
        <w:t xml:space="preserve">If the Transfer is delayed for any reason then we will inform policyholders of this via our dedicated Transfer website at </w:t>
      </w:r>
      <w:hyperlink r:id="rId24" w:history="1">
        <w:r>
          <w:rPr>
            <w:rStyle w:val="Hyperlink"/>
          </w:rPr>
          <w:t>www.das.co.uk/arag-transfer</w:t>
        </w:r>
      </w:hyperlink>
      <w:r>
        <w:t xml:space="preserve"> or the ARAG dedicated Transfer website at </w:t>
      </w:r>
      <w:hyperlink r:id="rId25" w:history="1">
        <w:r>
          <w:rPr>
            <w:rStyle w:val="Hyperlink"/>
          </w:rPr>
          <w:t>www.arag.ie/DASIrelandSale</w:t>
        </w:r>
      </w:hyperlink>
      <w:r>
        <w:t>. If there is expected to be a protracted delay, or the Transfer is rejected, we will also write to affected policyholders to let them know.</w:t>
      </w:r>
    </w:p>
    <w:p w:rsidR="005203B0" w:rsidRDefault="00C46CFC">
      <w:pPr>
        <w:pStyle w:val="Legal1L3"/>
        <w:numPr>
          <w:ilvl w:val="0"/>
          <w:numId w:val="0"/>
        </w:numPr>
        <w:ind w:right="1372"/>
      </w:pPr>
      <w:r>
        <w:t>3.7 Will I be charged extra for any of this?</w:t>
      </w:r>
    </w:p>
    <w:p w:rsidR="005203B0" w:rsidRDefault="00C46CFC">
      <w:pPr>
        <w:pStyle w:val="BodyTextIndent1"/>
        <w:ind w:right="1372"/>
        <w:jc w:val="both"/>
      </w:pPr>
      <w:r>
        <w:t>No, you will not be asked to bear the costs of the Transfer. DAS and ARAG will meet all of the costs and fees of carrying out the Transfer.</w:t>
      </w:r>
    </w:p>
    <w:p w:rsidR="005203B0" w:rsidRDefault="00C46CFC">
      <w:pPr>
        <w:pStyle w:val="Legal1L1"/>
        <w:ind w:right="1372"/>
        <w:rPr>
          <w:sz w:val="36"/>
          <w:szCs w:val="36"/>
        </w:rPr>
      </w:pPr>
      <w:r>
        <w:br/>
      </w:r>
      <w:bookmarkStart w:id="7" w:name="_Toc531081490"/>
      <w:bookmarkStart w:id="8" w:name="_Toc22128306"/>
      <w:r>
        <w:rPr>
          <w:sz w:val="36"/>
          <w:szCs w:val="36"/>
        </w:rPr>
        <w:t>More about the Independent Expert</w:t>
      </w:r>
      <w:bookmarkEnd w:id="7"/>
      <w:bookmarkEnd w:id="8"/>
    </w:p>
    <w:p w:rsidR="005203B0" w:rsidRDefault="00C46CFC">
      <w:pPr>
        <w:pStyle w:val="Legal1L3"/>
        <w:numPr>
          <w:ilvl w:val="0"/>
          <w:numId w:val="0"/>
        </w:numPr>
        <w:ind w:right="1372"/>
      </w:pPr>
      <w:r>
        <w:t>4.1 Who is the Independent Expert?</w:t>
      </w:r>
    </w:p>
    <w:p w:rsidR="005203B0" w:rsidRDefault="00C46CFC">
      <w:pPr>
        <w:pStyle w:val="BodyTextIndent1"/>
        <w:ind w:right="1372"/>
        <w:jc w:val="both"/>
      </w:pPr>
      <w:r>
        <w:t xml:space="preserve">The Independent Expert is Kate Angell of </w:t>
      </w:r>
      <w:r>
        <w:rPr>
          <w:rFonts w:cs="Arial"/>
        </w:rPr>
        <w:t>Willis Towers Watson</w:t>
      </w:r>
      <w:r>
        <w:t>.</w:t>
      </w:r>
    </w:p>
    <w:p w:rsidR="005203B0" w:rsidRDefault="00C46CFC">
      <w:pPr>
        <w:pStyle w:val="Legal1L3"/>
        <w:numPr>
          <w:ilvl w:val="0"/>
          <w:numId w:val="0"/>
        </w:numPr>
        <w:ind w:right="1372"/>
      </w:pPr>
      <w:r>
        <w:t>4.2 What's her role?</w:t>
      </w:r>
    </w:p>
    <w:p w:rsidR="005203B0" w:rsidRDefault="00C46CFC">
      <w:pPr>
        <w:pStyle w:val="BodyTextIndent1"/>
        <w:ind w:right="1372"/>
        <w:jc w:val="both"/>
      </w:pPr>
      <w:r>
        <w:t>The Independent Expert has been appointed to give her opinion on the likely effect of the proposals on policyholders. Her appointment has been approved by the PRA, following consultation with the FCA. Her Report is impartial, based on thorough scrutiny of the proposals and the businesses of DAS and ARAG. DAS and ARAG have provided her with access to key staff and information she has requested, both private and public.</w:t>
      </w:r>
    </w:p>
    <w:p w:rsidR="005203B0" w:rsidRDefault="00C46CFC">
      <w:pPr>
        <w:pStyle w:val="Legal1L3"/>
        <w:numPr>
          <w:ilvl w:val="0"/>
          <w:numId w:val="0"/>
        </w:numPr>
        <w:ind w:right="1372"/>
      </w:pPr>
      <w:r>
        <w:t>4.3 How do I know she is independent?</w:t>
      </w:r>
    </w:p>
    <w:p w:rsidR="005203B0" w:rsidRDefault="00C46CFC">
      <w:pPr>
        <w:pStyle w:val="BodyTextIndent1"/>
        <w:ind w:right="1372"/>
        <w:jc w:val="both"/>
      </w:pPr>
      <w:r>
        <w:t xml:space="preserve">The Independent Expert's appointment has been approved by the PRA, following consultation with the FCA, and independence is one of the criteria that they use to assess her suitability. Neither the Independent Expert nor any of her immediate family hold any policies, shareholdings or have any other financial interests with DAS, ARAG or any company within the </w:t>
      </w:r>
      <w:r>
        <w:rPr>
          <w:rFonts w:cs="Arial"/>
        </w:rPr>
        <w:t>E</w:t>
      </w:r>
      <w:r>
        <w:t xml:space="preserve">RGO Group. The Independent Expert’s overriding duty of responsibility is to the Court, and not DAS or ARAG. Her Report must be impartial. We have included a summary of her Report with this pack, but you can download a full copy of the Independent Expert's Report at our dedicated Transfer website </w:t>
      </w:r>
      <w:hyperlink r:id="rId26" w:history="1">
        <w:r>
          <w:rPr>
            <w:rStyle w:val="Hyperlink"/>
          </w:rPr>
          <w:t>www.das.co.uk/arag-transfer</w:t>
        </w:r>
      </w:hyperlink>
      <w:r>
        <w:t xml:space="preserve"> or the ARAG dedicated Transfer website at </w:t>
      </w:r>
      <w:hyperlink r:id="rId27" w:history="1">
        <w:r>
          <w:rPr>
            <w:rStyle w:val="Hyperlink"/>
          </w:rPr>
          <w:t>www.arag.ie/DASIrelandSale</w:t>
        </w:r>
      </w:hyperlink>
      <w:r>
        <w:t>. If you would like a paper copy sent to you then please contact us on the details set out at section 3.4 above</w:t>
      </w:r>
      <w:r>
        <w:rPr>
          <w:color w:val="000000"/>
          <w:lang w:eastAsia="en-GB"/>
        </w:rPr>
        <w:t>.</w:t>
      </w:r>
      <w:r>
        <w:rPr>
          <w:b/>
          <w:i/>
        </w:rPr>
        <w:t xml:space="preserve"> </w:t>
      </w:r>
    </w:p>
    <w:p w:rsidR="005203B0" w:rsidRDefault="00C46CFC">
      <w:pPr>
        <w:pStyle w:val="Legal1L1"/>
        <w:ind w:right="1372"/>
        <w:rPr>
          <w:sz w:val="36"/>
          <w:szCs w:val="36"/>
        </w:rPr>
      </w:pPr>
      <w:r>
        <w:br/>
      </w:r>
      <w:bookmarkStart w:id="9" w:name="_Toc531081491"/>
      <w:bookmarkStart w:id="10" w:name="_Toc22128307"/>
      <w:r>
        <w:rPr>
          <w:sz w:val="36"/>
          <w:szCs w:val="36"/>
        </w:rPr>
        <w:t>Will there be any changes to my policy?</w:t>
      </w:r>
      <w:bookmarkEnd w:id="9"/>
      <w:bookmarkEnd w:id="10"/>
    </w:p>
    <w:p w:rsidR="005203B0" w:rsidRDefault="00C46CFC">
      <w:pPr>
        <w:pStyle w:val="Legal1L3"/>
        <w:numPr>
          <w:ilvl w:val="0"/>
          <w:numId w:val="0"/>
        </w:numPr>
        <w:ind w:right="1372"/>
      </w:pPr>
      <w:r>
        <w:t>5.1 Who do I contact after the Transfer for a query on my policy or to make changes?</w:t>
      </w:r>
    </w:p>
    <w:p w:rsidR="005203B0" w:rsidRDefault="00C46CFC">
      <w:pPr>
        <w:pStyle w:val="BodyTextIndent1"/>
        <w:ind w:right="1372"/>
        <w:jc w:val="both"/>
      </w:pPr>
      <w:r>
        <w:t>As set out in section 2.2 above, the administration of your policy will not change as a result of the Transfer and after the Transfer you should continue to contact your normal claims handler or contacts.</w:t>
      </w:r>
    </w:p>
    <w:p w:rsidR="005203B0" w:rsidRDefault="00C46CFC">
      <w:pPr>
        <w:pStyle w:val="Legal1L3"/>
        <w:numPr>
          <w:ilvl w:val="0"/>
          <w:numId w:val="0"/>
        </w:numPr>
        <w:ind w:right="1372"/>
      </w:pPr>
      <w:r>
        <w:t>5.2 Will there be any changes to the premiums I pay?</w:t>
      </w:r>
    </w:p>
    <w:p w:rsidR="005203B0" w:rsidRDefault="00C46CFC">
      <w:pPr>
        <w:pStyle w:val="BodyTextIndent1"/>
        <w:ind w:right="1372"/>
        <w:jc w:val="both"/>
      </w:pPr>
      <w:r>
        <w:t>No changes will be made to your premium as a result of the Transfer.</w:t>
      </w:r>
    </w:p>
    <w:p w:rsidR="005203B0" w:rsidRDefault="00C46CFC">
      <w:pPr>
        <w:pStyle w:val="Legal1L3"/>
        <w:numPr>
          <w:ilvl w:val="0"/>
          <w:numId w:val="0"/>
        </w:numPr>
        <w:ind w:right="1372"/>
      </w:pPr>
      <w:r>
        <w:t>5.3 Are there any changes to the terms and conditions of my policy?</w:t>
      </w:r>
    </w:p>
    <w:p w:rsidR="005203B0" w:rsidRDefault="00C46CFC">
      <w:pPr>
        <w:pStyle w:val="BodyTextIndent1"/>
        <w:ind w:right="1372"/>
        <w:jc w:val="both"/>
      </w:pPr>
      <w:r>
        <w:t>The Transfer won't change the terms and conditions of your policy or the payments that you receive, if you have a claim.</w:t>
      </w:r>
    </w:p>
    <w:p w:rsidR="005203B0" w:rsidRDefault="00C46CFC">
      <w:pPr>
        <w:pStyle w:val="Legal1L3"/>
        <w:numPr>
          <w:ilvl w:val="0"/>
          <w:numId w:val="0"/>
        </w:numPr>
        <w:ind w:right="1372"/>
      </w:pPr>
      <w:r>
        <w:t>5.4 Are there any other changes I should be aware of as a result of the Transfer?</w:t>
      </w:r>
    </w:p>
    <w:p w:rsidR="005203B0" w:rsidRDefault="00C46CFC">
      <w:pPr>
        <w:pStyle w:val="Legal1L3"/>
        <w:numPr>
          <w:ilvl w:val="0"/>
          <w:numId w:val="0"/>
        </w:numPr>
        <w:ind w:right="1372"/>
        <w:jc w:val="both"/>
        <w:rPr>
          <w:u w:val="single"/>
        </w:rPr>
      </w:pPr>
      <w:r>
        <w:rPr>
          <w:u w:val="single"/>
        </w:rPr>
        <w:t>Financial Services Compensation Scheme</w:t>
      </w:r>
    </w:p>
    <w:p w:rsidR="005203B0" w:rsidRDefault="00C46CFC">
      <w:pPr>
        <w:pStyle w:val="Legal1L3"/>
        <w:numPr>
          <w:ilvl w:val="0"/>
          <w:numId w:val="0"/>
        </w:numPr>
        <w:ind w:right="1372"/>
        <w:jc w:val="both"/>
        <w:rPr>
          <w:b w:val="0"/>
        </w:rPr>
      </w:pPr>
      <w:r>
        <w:rPr>
          <w:b w:val="0"/>
          <w:bCs/>
          <w:iCs/>
        </w:rPr>
        <w:t xml:space="preserve">In the event of the insolvency of DAS, if you meet the relevant eligibility criteria, you currently have recourse to the UK Financial Services Compensation Scheme (the </w:t>
      </w:r>
      <w:r>
        <w:rPr>
          <w:iCs/>
        </w:rPr>
        <w:t>FSCS</w:t>
      </w:r>
      <w:r>
        <w:rPr>
          <w:b w:val="0"/>
          <w:bCs/>
          <w:iCs/>
        </w:rPr>
        <w:t xml:space="preserve">) or the Irish Compensation Fund (the </w:t>
      </w:r>
      <w:r>
        <w:rPr>
          <w:iCs/>
        </w:rPr>
        <w:t>ICF</w:t>
      </w:r>
      <w:r>
        <w:rPr>
          <w:b w:val="0"/>
          <w:bCs/>
          <w:iCs/>
        </w:rPr>
        <w:t>) to have any claim you bring under your policy paid. If your policy is transferred to ARAG, you will continue to have recourse to the FSCS in the event of ARAG’s insolvency up to the date that your policy expires</w:t>
      </w:r>
      <w:r>
        <w:rPr>
          <w:b w:val="0"/>
          <w:bCs/>
          <w:iCs/>
          <w:color w:val="FF0000"/>
        </w:rPr>
        <w:t>,</w:t>
      </w:r>
      <w:r>
        <w:rPr>
          <w:b w:val="0"/>
          <w:bCs/>
          <w:iCs/>
        </w:rPr>
        <w:t xml:space="preserve"> provided that ARAG remains authorised in the UK. This does not impact DAS policyholders who are not transferring to ARAG.</w:t>
      </w:r>
    </w:p>
    <w:p w:rsidR="005203B0" w:rsidRDefault="00C46CFC">
      <w:pPr>
        <w:pStyle w:val="Legal1L3"/>
        <w:numPr>
          <w:ilvl w:val="0"/>
          <w:numId w:val="0"/>
        </w:numPr>
        <w:ind w:right="1372"/>
        <w:jc w:val="both"/>
        <w:rPr>
          <w:b w:val="0"/>
        </w:rPr>
      </w:pPr>
      <w:r>
        <w:rPr>
          <w:b w:val="0"/>
        </w:rPr>
        <w:t xml:space="preserve">If your policy was issued before 31 January 2020 and if your policy is transferred to ARAG, you will continue to have recourse to the FSCS in the event of ARAG’s insolvency up to the date that your policy expires provided that ARAG remains authorised in the UK. This does not impact DAS policyholders who are not transferring to ARAG. </w:t>
      </w:r>
    </w:p>
    <w:p w:rsidR="005203B0" w:rsidRDefault="00C46CFC">
      <w:pPr>
        <w:pStyle w:val="Legal1L3"/>
        <w:numPr>
          <w:ilvl w:val="0"/>
          <w:numId w:val="0"/>
        </w:numPr>
        <w:ind w:right="1372"/>
        <w:jc w:val="both"/>
        <w:rPr>
          <w:b w:val="0"/>
        </w:rPr>
      </w:pPr>
      <w:r>
        <w:rPr>
          <w:b w:val="0"/>
        </w:rPr>
        <w:t>Recourse under the ICF will not be impacted by Brexit on the grounds that the Transferring Policies are Irish insurance policies issued in Ireland.</w:t>
      </w:r>
    </w:p>
    <w:p w:rsidR="005203B0" w:rsidRDefault="00C46CFC">
      <w:pPr>
        <w:pStyle w:val="Legal1L3"/>
        <w:numPr>
          <w:ilvl w:val="0"/>
          <w:numId w:val="0"/>
        </w:numPr>
        <w:ind w:right="1372"/>
        <w:jc w:val="both"/>
        <w:rPr>
          <w:b w:val="0"/>
        </w:rPr>
      </w:pPr>
      <w:r>
        <w:rPr>
          <w:b w:val="0"/>
        </w:rPr>
        <w:t>The Independent Expert has considered this issue in her Report at paragraph 15.39 and has concluded that there is no impact on any policyholder ability to claim under the FSCS as a result of the Transfer and accordingly it will not materially adversely affect the transferring policyholders, for the reasons set out in her Report.</w:t>
      </w:r>
    </w:p>
    <w:p w:rsidR="005203B0" w:rsidRDefault="00C46CFC">
      <w:pPr>
        <w:pStyle w:val="Legal1L1"/>
        <w:ind w:right="1372"/>
        <w:rPr>
          <w:sz w:val="36"/>
          <w:szCs w:val="36"/>
        </w:rPr>
      </w:pPr>
      <w:r>
        <w:br/>
      </w:r>
      <w:bookmarkStart w:id="11" w:name="_Toc531081492"/>
      <w:bookmarkStart w:id="12" w:name="_Toc22128308"/>
      <w:r>
        <w:rPr>
          <w:sz w:val="36"/>
          <w:szCs w:val="36"/>
        </w:rPr>
        <w:t>Final Comments</w:t>
      </w:r>
      <w:bookmarkEnd w:id="11"/>
      <w:bookmarkEnd w:id="12"/>
    </w:p>
    <w:p w:rsidR="005203B0" w:rsidRDefault="00C46CFC">
      <w:pPr>
        <w:pStyle w:val="Legal1L3"/>
        <w:numPr>
          <w:ilvl w:val="0"/>
          <w:numId w:val="0"/>
        </w:numPr>
        <w:ind w:right="1372"/>
      </w:pPr>
      <w:r>
        <w:t>6.1 I can't find the answer to my question in this booklet.</w:t>
      </w:r>
      <w:r>
        <w:rPr>
          <w:b w:val="0"/>
        </w:rPr>
        <w:t xml:space="preserve"> </w:t>
      </w:r>
      <w:r>
        <w:t>Where can I find out more?</w:t>
      </w:r>
    </w:p>
    <w:p w:rsidR="005203B0" w:rsidRDefault="00C46CFC">
      <w:pPr>
        <w:pStyle w:val="BodyTextIndent1"/>
        <w:ind w:right="1372"/>
        <w:jc w:val="both"/>
      </w:pPr>
      <w:r>
        <w:t xml:space="preserve">We hope that the information we have provided has helped you to understand the proposals. DAS and ARAG have published further information at </w:t>
      </w:r>
      <w:hyperlink r:id="rId28" w:history="1">
        <w:r>
          <w:rPr>
            <w:rStyle w:val="Hyperlink"/>
          </w:rPr>
          <w:t>www.das.co.uk/arag-transfer</w:t>
        </w:r>
      </w:hyperlink>
      <w:r>
        <w:t xml:space="preserve"> and </w:t>
      </w:r>
      <w:hyperlink r:id="rId29" w:history="1">
        <w:r>
          <w:rPr>
            <w:rStyle w:val="Hyperlink"/>
          </w:rPr>
          <w:t>www.arag.ie/DASIrelandSale</w:t>
        </w:r>
      </w:hyperlink>
      <w:r>
        <w:t>. There you can download a full version of the Scheme which sets out the legal terms of the Transfer, the full Report of the Independent Expert, and the policyholder communications pack. Alternatively call us on the helpline below and we will send you this information.</w:t>
      </w:r>
      <w:r>
        <w:rPr>
          <w:b/>
        </w:rPr>
        <w:t xml:space="preserve"> </w:t>
      </w:r>
    </w:p>
    <w:p w:rsidR="005203B0" w:rsidRDefault="00C46CFC">
      <w:pPr>
        <w:pStyle w:val="BodyTextIndent1"/>
        <w:ind w:right="1372"/>
        <w:jc w:val="both"/>
      </w:pPr>
      <w:r>
        <w:t>DAS and ARAG have set up a helpline for policyholders who have questions or wish to raise concerns or objections related to the Transfer on +353</w:t>
      </w:r>
      <w:r>
        <w:rPr>
          <w:rStyle w:val="Prompt"/>
          <w:color w:val="auto"/>
        </w:rPr>
        <w:t xml:space="preserve">(0)1 8818080 (Ireland) or </w:t>
      </w:r>
      <w:r>
        <w:t xml:space="preserve">+44(0)117 934 2000 (UK) </w:t>
      </w:r>
      <w:r>
        <w:rPr>
          <w:rFonts w:cs="Arial"/>
        </w:rPr>
        <w:t>available between 9am to 5pm Monday to Friday (excluding public holidays)</w:t>
      </w:r>
      <w:r>
        <w:t xml:space="preserve">. Callers outside of these hours will be able to leave a message and request that their call is returned. </w:t>
      </w:r>
    </w:p>
    <w:p w:rsidR="005203B0" w:rsidRDefault="00C46CFC">
      <w:pPr>
        <w:pStyle w:val="BodyTextIndent1"/>
        <w:ind w:right="1372"/>
        <w:jc w:val="both"/>
      </w:pPr>
      <w:r>
        <w:t>Alternatively you can:</w:t>
      </w:r>
    </w:p>
    <w:p w:rsidR="005203B0" w:rsidRDefault="00C46CFC">
      <w:pPr>
        <w:pStyle w:val="BodyText0"/>
        <w:numPr>
          <w:ilvl w:val="0"/>
          <w:numId w:val="26"/>
        </w:numPr>
        <w:spacing w:line="240" w:lineRule="auto"/>
        <w:jc w:val="both"/>
        <w:rPr>
          <w:rFonts w:cs="Arial"/>
        </w:rPr>
      </w:pPr>
      <w:r>
        <w:t xml:space="preserve">write to us </w:t>
      </w:r>
      <w:r>
        <w:rPr>
          <w:rFonts w:cs="Arial"/>
        </w:rPr>
        <w:t xml:space="preserve">at: </w:t>
      </w:r>
    </w:p>
    <w:p w:rsidR="005203B0" w:rsidRDefault="00C46CFC">
      <w:pPr>
        <w:pStyle w:val="BodyText0"/>
        <w:numPr>
          <w:ilvl w:val="0"/>
          <w:numId w:val="28"/>
        </w:numPr>
        <w:spacing w:line="240" w:lineRule="auto"/>
        <w:ind w:left="1134" w:right="1372"/>
        <w:jc w:val="both"/>
        <w:rPr>
          <w:rFonts w:cs="Arial"/>
        </w:rPr>
      </w:pPr>
      <w:r>
        <w:rPr>
          <w:rFonts w:cs="Arial"/>
          <w:u w:val="single"/>
        </w:rPr>
        <w:t>Ireland</w:t>
      </w:r>
      <w:r>
        <w:rPr>
          <w:rFonts w:cs="Arial"/>
        </w:rPr>
        <w:t xml:space="preserve">: ARAG Legal Protection, Europa House, Harcourt Centre, Harcourt Street, Dublin D02 WR20, Ireland; or </w:t>
      </w:r>
    </w:p>
    <w:p w:rsidR="005203B0" w:rsidRDefault="00C46CFC">
      <w:pPr>
        <w:pStyle w:val="BodyText0"/>
        <w:numPr>
          <w:ilvl w:val="0"/>
          <w:numId w:val="28"/>
        </w:numPr>
        <w:spacing w:line="240" w:lineRule="auto"/>
        <w:ind w:left="1134" w:right="1372"/>
        <w:jc w:val="both"/>
        <w:rPr>
          <w:rFonts w:cs="Arial"/>
        </w:rPr>
      </w:pPr>
      <w:r>
        <w:rPr>
          <w:rFonts w:cs="Arial"/>
          <w:u w:val="single"/>
        </w:rPr>
        <w:t>UK</w:t>
      </w:r>
      <w:r>
        <w:rPr>
          <w:rFonts w:cs="Arial"/>
        </w:rPr>
        <w:t xml:space="preserve">: DAS Legal Expenses Insurance Company Limited, DAS House, Quay Side, Temple Back, Bristol BS1 6NH, United Kingdom; or </w:t>
      </w:r>
    </w:p>
    <w:p w:rsidR="005203B0" w:rsidRDefault="00C46CFC">
      <w:pPr>
        <w:pStyle w:val="BodyText0"/>
        <w:numPr>
          <w:ilvl w:val="0"/>
          <w:numId w:val="26"/>
        </w:numPr>
        <w:spacing w:line="240" w:lineRule="auto"/>
        <w:jc w:val="both"/>
      </w:pPr>
      <w:r>
        <w:t xml:space="preserve">email us at: </w:t>
      </w:r>
      <w:hyperlink r:id="rId30" w:history="1">
        <w:r>
          <w:rPr>
            <w:rStyle w:val="Hyperlink"/>
          </w:rPr>
          <w:t>customerrelations@das.co.uk</w:t>
        </w:r>
      </w:hyperlink>
      <w:r>
        <w:rPr>
          <w:rStyle w:val="Hyperlink"/>
        </w:rPr>
        <w:t xml:space="preserve"> </w:t>
      </w:r>
      <w:r>
        <w:t xml:space="preserve">and </w:t>
      </w:r>
      <w:hyperlink r:id="rId31" w:history="1">
        <w:r>
          <w:rPr>
            <w:rStyle w:val="Hyperlink"/>
          </w:rPr>
          <w:t>DASIrelandSale@arag.ie</w:t>
        </w:r>
      </w:hyperlink>
      <w:r>
        <w:t>.</w:t>
      </w:r>
    </w:p>
    <w:p w:rsidR="005203B0" w:rsidRDefault="00C46CFC">
      <w:pPr>
        <w:pStyle w:val="BodyTextIndent1"/>
        <w:ind w:right="1372"/>
        <w:jc w:val="both"/>
      </w:pPr>
      <w:r>
        <w:t xml:space="preserve">We will also publish on </w:t>
      </w:r>
      <w:hyperlink r:id="rId32" w:history="1">
        <w:r>
          <w:rPr>
            <w:rStyle w:val="Hyperlink"/>
          </w:rPr>
          <w:t>www.das.co.uk/arag-transfer</w:t>
        </w:r>
      </w:hyperlink>
      <w:r>
        <w:t xml:space="preserve"> and </w:t>
      </w:r>
      <w:hyperlink r:id="rId33" w:history="1">
        <w:r>
          <w:rPr>
            <w:rStyle w:val="Hyperlink"/>
          </w:rPr>
          <w:t>www.arag.ie/DASIrelandSale</w:t>
        </w:r>
      </w:hyperlink>
      <w:r>
        <w:t xml:space="preserve"> copies of any Supplementary Reports that the Independent Expert writes before the Court Hearing date. </w:t>
      </w:r>
    </w:p>
    <w:p w:rsidR="005203B0" w:rsidRDefault="00C46CFC">
      <w:pPr>
        <w:pStyle w:val="BodyTextIndent1"/>
        <w:ind w:right="1372"/>
        <w:jc w:val="both"/>
      </w:pPr>
      <w:r>
        <w:t>However, if you do think you may be worse off as a result of the Transfer please see sections 3.4 to 3.6 above or turn to the Legal Notice within this pack for information about how to make your objection or concern known to us.</w:t>
      </w:r>
    </w:p>
    <w:p w:rsidR="005203B0" w:rsidRDefault="00C46CFC">
      <w:pPr>
        <w:pStyle w:val="BodyTextIndent1"/>
        <w:ind w:right="1372"/>
        <w:jc w:val="both"/>
      </w:pPr>
      <w:r>
        <w:t>Please note that the details above are to be used for enquires about the Transfer only. If you have any general questions about your policy, please call your usual contact.</w:t>
      </w:r>
    </w:p>
    <w:p w:rsidR="005203B0" w:rsidRDefault="00C46CFC">
      <w:pPr>
        <w:pStyle w:val="Legal1L3"/>
        <w:numPr>
          <w:ilvl w:val="0"/>
          <w:numId w:val="0"/>
        </w:numPr>
        <w:ind w:right="1372"/>
      </w:pPr>
      <w:r>
        <w:t>6.2 How will I know if the Transfer has been approved?</w:t>
      </w:r>
    </w:p>
    <w:p w:rsidR="005203B0" w:rsidRDefault="00C46CFC">
      <w:pPr>
        <w:pStyle w:val="BodyTextIndent1"/>
        <w:ind w:right="1372"/>
        <w:jc w:val="both"/>
      </w:pPr>
      <w:r>
        <w:t xml:space="preserve">We will announce the outcome of the Court application at </w:t>
      </w:r>
      <w:hyperlink r:id="rId34" w:history="1">
        <w:r>
          <w:rPr>
            <w:rStyle w:val="Hyperlink"/>
          </w:rPr>
          <w:t>www.das.co.uk/arag-transfer</w:t>
        </w:r>
      </w:hyperlink>
      <w:r>
        <w:t xml:space="preserve"> and </w:t>
      </w:r>
      <w:hyperlink r:id="rId35" w:history="1">
        <w:r>
          <w:rPr>
            <w:rStyle w:val="Hyperlink"/>
          </w:rPr>
          <w:t>www.arag.ie/DASIrelandSale</w:t>
        </w:r>
      </w:hyperlink>
      <w:r>
        <w:t xml:space="preserve"> following the Court Hearing due on 28 July 2020. Any changes or information on the progress of the Transfer will also be announced on this website. </w:t>
      </w:r>
    </w:p>
    <w:p w:rsidR="005203B0" w:rsidRDefault="00C46CFC">
      <w:pPr>
        <w:pStyle w:val="BodyTextIndent1"/>
        <w:ind w:right="1372"/>
        <w:jc w:val="both"/>
      </w:pPr>
      <w:r>
        <w:t xml:space="preserve">You will be able to find information about the outcome of the hearing on our website at </w:t>
      </w:r>
      <w:hyperlink r:id="rId36" w:history="1">
        <w:r>
          <w:rPr>
            <w:rStyle w:val="Hyperlink"/>
          </w:rPr>
          <w:t>www.das.co.uk/arag-transfer</w:t>
        </w:r>
      </w:hyperlink>
      <w:r>
        <w:t xml:space="preserve"> and </w:t>
      </w:r>
      <w:hyperlink r:id="rId37" w:history="1">
        <w:r>
          <w:rPr>
            <w:rStyle w:val="Hyperlink"/>
          </w:rPr>
          <w:t>www.arag.ie/DASIrelandSale</w:t>
        </w:r>
      </w:hyperlink>
      <w:r>
        <w:t xml:space="preserve"> or by calling the helpline, </w:t>
      </w:r>
      <w:r>
        <w:rPr>
          <w:rFonts w:cs="Arial"/>
        </w:rPr>
        <w:t xml:space="preserve">at </w:t>
      </w:r>
      <w:r>
        <w:t>+353</w:t>
      </w:r>
      <w:r>
        <w:rPr>
          <w:rStyle w:val="Prompt"/>
          <w:color w:val="auto"/>
        </w:rPr>
        <w:t>(0)1 8818080</w:t>
      </w:r>
      <w:r>
        <w:rPr>
          <w:rFonts w:cs="Arial"/>
        </w:rPr>
        <w:t xml:space="preserve"> available between 9am to 5pm Monday to Friday (excluding public holidays). </w:t>
      </w:r>
      <w:r>
        <w:t>Callers outside of these hours will be able to leave a message and request that their call is returned.</w:t>
      </w:r>
      <w:r>
        <w:rPr>
          <w:b/>
        </w:rPr>
        <w:t xml:space="preserve"> </w:t>
      </w:r>
    </w:p>
    <w:p w:rsidR="005203B0" w:rsidRDefault="00C46CFC">
      <w:pPr>
        <w:pStyle w:val="BodyTextIndent1"/>
        <w:ind w:right="1372"/>
        <w:jc w:val="both"/>
        <w:rPr>
          <w:b/>
          <w:i/>
        </w:rPr>
      </w:pPr>
      <w:r>
        <w:t>You should check this website for any changes or updates or otherwise call our helpline as set out at section 6.1 above.</w:t>
      </w:r>
      <w:r>
        <w:rPr>
          <w:b/>
          <w:i/>
        </w:rPr>
        <w:t xml:space="preserve"> </w:t>
      </w:r>
    </w:p>
    <w:p w:rsidR="005203B0" w:rsidRDefault="00C46CFC">
      <w:pPr>
        <w:pStyle w:val="BodyTextIndent1"/>
        <w:ind w:right="1372"/>
        <w:jc w:val="both"/>
      </w:pPr>
      <w:r>
        <w:t xml:space="preserve">If the application is successful then the Transfer should take place on the Effective Date (being 0:01 BST on 31 July 2020).  </w:t>
      </w:r>
    </w:p>
    <w:p w:rsidR="005203B0" w:rsidRDefault="005203B0">
      <w:pPr>
        <w:pStyle w:val="BodyTextIndent1"/>
        <w:ind w:right="1372"/>
        <w:jc w:val="both"/>
      </w:pPr>
    </w:p>
    <w:p w:rsidR="005203B0" w:rsidRDefault="00C46CFC">
      <w:pPr>
        <w:pStyle w:val="Legal1L1"/>
        <w:numPr>
          <w:ilvl w:val="0"/>
          <w:numId w:val="0"/>
        </w:numPr>
        <w:ind w:right="1372"/>
        <w:rPr>
          <w:sz w:val="36"/>
          <w:szCs w:val="36"/>
        </w:rPr>
      </w:pPr>
      <w:bookmarkStart w:id="13" w:name="_Toc451176619"/>
      <w:bookmarkStart w:id="14" w:name="_Toc22128309"/>
      <w:r>
        <w:rPr>
          <w:sz w:val="36"/>
          <w:szCs w:val="36"/>
        </w:rPr>
        <w:t>Glossary</w:t>
      </w:r>
      <w:bookmarkEnd w:id="13"/>
      <w:bookmarkEnd w:id="14"/>
    </w:p>
    <w:p w:rsidR="005203B0" w:rsidRDefault="00C46CFC">
      <w:pPr>
        <w:pStyle w:val="BodyTextIndent1"/>
        <w:ind w:right="1372"/>
        <w:jc w:val="both"/>
        <w:rPr>
          <w:bCs/>
          <w:lang w:val="de-DE"/>
        </w:rPr>
      </w:pPr>
      <w:r>
        <w:rPr>
          <w:b/>
          <w:lang w:val="de-DE"/>
        </w:rPr>
        <w:t xml:space="preserve">ARAG </w:t>
      </w:r>
      <w:r>
        <w:rPr>
          <w:bCs/>
          <w:lang w:val="de-DE"/>
        </w:rPr>
        <w:t>means ARAG Allgemeine Versicherungs-AG.</w:t>
      </w:r>
    </w:p>
    <w:p w:rsidR="005203B0" w:rsidRDefault="00C46CFC">
      <w:pPr>
        <w:pStyle w:val="BodyTextIndent1"/>
        <w:ind w:right="1372"/>
        <w:jc w:val="both"/>
        <w:rPr>
          <w:bCs/>
          <w:lang w:val="en-US"/>
        </w:rPr>
      </w:pPr>
      <w:r>
        <w:rPr>
          <w:b/>
          <w:lang w:val="en-US"/>
        </w:rPr>
        <w:t xml:space="preserve">ARAG Irish Branch </w:t>
      </w:r>
      <w:r>
        <w:rPr>
          <w:bCs/>
          <w:lang w:val="en-US"/>
        </w:rPr>
        <w:t>means the Irish branch of ARAG with offices in Dublin.</w:t>
      </w:r>
    </w:p>
    <w:p w:rsidR="005203B0" w:rsidRDefault="00C46CFC">
      <w:pPr>
        <w:pStyle w:val="BodyTextIndent1"/>
        <w:ind w:right="1372"/>
        <w:jc w:val="both"/>
      </w:pPr>
      <w:r>
        <w:rPr>
          <w:b/>
        </w:rPr>
        <w:t>Court</w:t>
      </w:r>
      <w:r>
        <w:t xml:space="preserve"> means the High Court of Justice in England and Wales.</w:t>
      </w:r>
    </w:p>
    <w:p w:rsidR="005203B0" w:rsidRDefault="00C46CFC">
      <w:pPr>
        <w:pStyle w:val="BodyTextIndent1"/>
        <w:ind w:right="1372"/>
        <w:jc w:val="both"/>
      </w:pPr>
      <w:r>
        <w:rPr>
          <w:b/>
        </w:rPr>
        <w:t>Court Hearing</w:t>
      </w:r>
      <w:r>
        <w:t xml:space="preserve"> means the Hearing at the High Court of Justice in England and Wales at which the final decision to approve or disapprove the Scheme is made.</w:t>
      </w:r>
    </w:p>
    <w:p w:rsidR="005203B0" w:rsidRDefault="00C46CFC">
      <w:pPr>
        <w:pStyle w:val="BodyTextIndent1"/>
        <w:ind w:right="1372"/>
        <w:jc w:val="both"/>
      </w:pPr>
      <w:r>
        <w:rPr>
          <w:b/>
        </w:rPr>
        <w:t xml:space="preserve">EEA </w:t>
      </w:r>
      <w:r>
        <w:t xml:space="preserve">means the European Economic Area. </w:t>
      </w:r>
    </w:p>
    <w:p w:rsidR="005203B0" w:rsidRDefault="00C46CFC">
      <w:pPr>
        <w:pStyle w:val="BodyTextIndent1"/>
        <w:ind w:right="1372"/>
        <w:jc w:val="both"/>
      </w:pPr>
      <w:r>
        <w:rPr>
          <w:b/>
        </w:rPr>
        <w:t>Effective Date</w:t>
      </w:r>
      <w:r>
        <w:t xml:space="preserve"> means 00:01 BST on 31 July 2020, the date on which the Scheme is expected to become effective (subject to the approval of the Court). Any change to the date of the Transfer will be announced on </w:t>
      </w:r>
      <w:hyperlink r:id="rId38" w:history="1">
        <w:r>
          <w:rPr>
            <w:rStyle w:val="Hyperlink"/>
          </w:rPr>
          <w:t>www.das.co.uk/arag-transfer</w:t>
        </w:r>
      </w:hyperlink>
      <w:r>
        <w:t xml:space="preserve"> and </w:t>
      </w:r>
      <w:hyperlink r:id="rId39" w:history="1">
        <w:r>
          <w:rPr>
            <w:rStyle w:val="Hyperlink"/>
          </w:rPr>
          <w:t>www.arag.ie/DASIrelandSale</w:t>
        </w:r>
      </w:hyperlink>
      <w:r>
        <w:t xml:space="preserve">. </w:t>
      </w:r>
    </w:p>
    <w:p w:rsidR="005203B0" w:rsidRDefault="00C46CFC">
      <w:pPr>
        <w:pStyle w:val="BodyTextIndent1"/>
        <w:ind w:right="1372"/>
        <w:jc w:val="both"/>
        <w:rPr>
          <w:b/>
          <w:i/>
        </w:rPr>
      </w:pPr>
      <w:r>
        <w:rPr>
          <w:b/>
        </w:rPr>
        <w:t>FCA</w:t>
      </w:r>
      <w:r>
        <w:t xml:space="preserve"> means the Financial Conduct Authority which has an objective to protect consumers of financial services, protect and enhance the integrity of the UK financial system and promote effective competition in the interests of consumers. </w:t>
      </w:r>
    </w:p>
    <w:p w:rsidR="005203B0" w:rsidRDefault="00C46CFC">
      <w:pPr>
        <w:pStyle w:val="BodyTextIndent1"/>
        <w:ind w:right="1372"/>
        <w:jc w:val="both"/>
      </w:pPr>
      <w:r>
        <w:rPr>
          <w:b/>
        </w:rPr>
        <w:t>FSMA</w:t>
      </w:r>
      <w:r>
        <w:t xml:space="preserve"> means the UK Financial Services and Markets Act 2000.</w:t>
      </w:r>
    </w:p>
    <w:p w:rsidR="005203B0" w:rsidRDefault="00C46CFC">
      <w:pPr>
        <w:pStyle w:val="BodyTextIndent1"/>
        <w:ind w:right="1372"/>
        <w:jc w:val="both"/>
      </w:pPr>
      <w:r>
        <w:rPr>
          <w:b/>
        </w:rPr>
        <w:t>Independent Expert</w:t>
      </w:r>
      <w:r>
        <w:t xml:space="preserve"> means Kate Angell of </w:t>
      </w:r>
      <w:r>
        <w:rPr>
          <w:rFonts w:cs="Arial"/>
        </w:rPr>
        <w:t>Willis Towers Watson</w:t>
      </w:r>
      <w:r>
        <w:t xml:space="preserve"> whose appointment, which has been approved by the PRA in consultation with the FCA, involves producing the Report. </w:t>
      </w:r>
    </w:p>
    <w:p w:rsidR="005203B0" w:rsidRDefault="00C46CFC">
      <w:pPr>
        <w:pStyle w:val="BodyTextIndent1"/>
        <w:ind w:right="1372"/>
        <w:jc w:val="both"/>
      </w:pPr>
      <w:r>
        <w:rPr>
          <w:b/>
        </w:rPr>
        <w:t>PRA</w:t>
      </w:r>
      <w:r>
        <w:t xml:space="preserve"> means the Prudential Regulation Authority which is responsible for the prudential regulation and supervision of banks, building societies, credit unions, insurers and major investment firms in the UK.</w:t>
      </w:r>
    </w:p>
    <w:p w:rsidR="005203B0" w:rsidRDefault="00C46CFC">
      <w:pPr>
        <w:pStyle w:val="BodyTextIndent1"/>
        <w:ind w:right="1372"/>
        <w:jc w:val="both"/>
      </w:pPr>
      <w:r>
        <w:rPr>
          <w:b/>
        </w:rPr>
        <w:t>Regulator(s)</w:t>
      </w:r>
      <w:r>
        <w:t xml:space="preserve"> means the applicable regulator(s) of the UK insurance industry. This refers to, as the context requires, the PRA, the FCA or both.</w:t>
      </w:r>
    </w:p>
    <w:p w:rsidR="005203B0" w:rsidRDefault="00C46CFC">
      <w:pPr>
        <w:pStyle w:val="BodyTextIndent1"/>
        <w:ind w:right="1372"/>
        <w:jc w:val="both"/>
      </w:pPr>
      <w:r>
        <w:rPr>
          <w:b/>
        </w:rPr>
        <w:t>Report</w:t>
      </w:r>
      <w:r>
        <w:t xml:space="preserve"> means the Scheme report produced by the Independent Expert under the requirements of FSMA, reflecting the guidance provided by SUP 18.2 of the FCA’s Handbook, FG18/4: The FCA’s Approach to the review of Part VII insurance business transfers and the PRA’s Statement of Policy on insurance business transfers.</w:t>
      </w:r>
    </w:p>
    <w:p w:rsidR="005203B0" w:rsidRDefault="00C46CFC">
      <w:pPr>
        <w:pStyle w:val="BodyTextIndent1"/>
        <w:ind w:right="1372"/>
        <w:jc w:val="both"/>
      </w:pPr>
      <w:r>
        <w:rPr>
          <w:b/>
        </w:rPr>
        <w:t>Scheme</w:t>
      </w:r>
      <w:r>
        <w:t xml:space="preserve"> means the legal document giving effect to the Transfer which will be considered for approval by the Court at the Court Hearing.</w:t>
      </w:r>
    </w:p>
    <w:p w:rsidR="005203B0" w:rsidRDefault="00C46CFC">
      <w:pPr>
        <w:pStyle w:val="BodyTextIndent1"/>
        <w:ind w:right="1372"/>
        <w:jc w:val="both"/>
        <w:rPr>
          <w:b/>
        </w:rPr>
      </w:pPr>
      <w:r>
        <w:rPr>
          <w:b/>
        </w:rPr>
        <w:t>Supplementary Report</w:t>
      </w:r>
      <w:r>
        <w:t xml:space="preserve"> means a report, produced in advance of the Court Hearing, to consider the impact on the Independent Expert's conclusions of events that have happened subsequent to the issue of her</w:t>
      </w:r>
      <w:r>
        <w:rPr>
          <w:b/>
        </w:rPr>
        <w:t xml:space="preserve"> </w:t>
      </w:r>
      <w:r>
        <w:t xml:space="preserve">initial Report. </w:t>
      </w:r>
    </w:p>
    <w:p w:rsidR="005203B0" w:rsidRDefault="00C46CFC">
      <w:pPr>
        <w:pStyle w:val="BodyTextIndent1"/>
        <w:ind w:right="1372"/>
        <w:jc w:val="both"/>
      </w:pPr>
      <w:r>
        <w:rPr>
          <w:b/>
        </w:rPr>
        <w:t>Transfer</w:t>
      </w:r>
      <w:r>
        <w:t xml:space="preserve"> means the legal transfer of the Transferring Policies from DAS to ARAG.</w:t>
      </w:r>
    </w:p>
    <w:p w:rsidR="005203B0" w:rsidRDefault="00C46CFC">
      <w:pPr>
        <w:pStyle w:val="BodyTextIndent1"/>
        <w:ind w:right="1372"/>
        <w:jc w:val="both"/>
      </w:pPr>
      <w:r>
        <w:rPr>
          <w:b/>
        </w:rPr>
        <w:t>Transferring Policies</w:t>
      </w:r>
      <w:r>
        <w:t xml:space="preserve"> means the DAS policies transferring to ARAG under the Scheme. </w:t>
      </w:r>
    </w:p>
    <w:p w:rsidR="005203B0" w:rsidRDefault="005203B0"/>
    <w:p w:rsidR="005203B0" w:rsidRDefault="005203B0"/>
    <w:sectPr w:rsidR="005203B0">
      <w:headerReference w:type="default" r:id="rId40"/>
      <w:footerReference w:type="default" r:id="rId41"/>
      <w:headerReference w:type="first" r:id="rId42"/>
      <w:footerReference w:type="first" r:id="rId43"/>
      <w:pgSz w:w="11907" w:h="16840" w:code="9"/>
      <w:pgMar w:top="1440" w:right="1440" w:bottom="1440" w:left="1440" w:header="851"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714" w:rsidRDefault="00033714">
      <w:r>
        <w:separator/>
      </w:r>
    </w:p>
  </w:endnote>
  <w:endnote w:type="continuationSeparator" w:id="0">
    <w:p w:rsidR="00033714" w:rsidRDefault="0003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Avenir LT Com 45 Book">
    <w:altName w:val="Avenir LT Com 45 Book"/>
    <w:panose1 w:val="00000000000000000000"/>
    <w:charset w:val="00"/>
    <w:family w:val="swiss"/>
    <w:notTrueType/>
    <w:pitch w:val="default"/>
    <w:sig w:usb0="00000003" w:usb1="00000000" w:usb2="00000000" w:usb3="00000000" w:csb0="00000001" w:csb1="00000000"/>
  </w:font>
  <w:font w:name="Futura PT Book">
    <w:altName w:val="Futura PT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B0" w:rsidRDefault="00520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B0" w:rsidRDefault="00C46CFC">
    <w:pPr>
      <w:pStyle w:val="Footer"/>
      <w:spacing w:before="560"/>
    </w:pPr>
    <w:r>
      <w:t xml:space="preserve"> </w:t>
    </w:r>
    <w:r>
      <w:rPr>
        <w:noProof/>
        <w:lang w:eastAsia="en-GB"/>
      </w:rPr>
      <w:drawing>
        <wp:inline distT="0" distB="0" distL="0" distR="0">
          <wp:extent cx="5760085" cy="45202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085" cy="45202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B0" w:rsidRDefault="00C46CFC">
    <w:pPr>
      <w:pStyle w:val="Footer"/>
      <w:spacing w:before="560"/>
    </w:pPr>
    <w:r>
      <w:rPr>
        <w:noProof/>
        <w:lang w:eastAsia="en-GB"/>
      </w:rPr>
      <mc:AlternateContent>
        <mc:Choice Requires="wps">
          <w:drawing>
            <wp:anchor distT="360045" distB="0" distL="114300" distR="114300" simplePos="0" relativeHeight="251677696" behindDoc="0" locked="1" layoutInCell="1" allowOverlap="1">
              <wp:simplePos x="0" y="0"/>
              <wp:positionH relativeFrom="margin">
                <wp:posOffset>2719070</wp:posOffset>
              </wp:positionH>
              <wp:positionV relativeFrom="paragraph">
                <wp:posOffset>4445</wp:posOffset>
              </wp:positionV>
              <wp:extent cx="3408045" cy="611505"/>
              <wp:effectExtent l="0" t="0" r="1905" b="17145"/>
              <wp:wrapNone/>
              <wp:docPr id="16" name="DocsID_FF4332200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04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3B0" w:rsidRDefault="005203B0">
                          <w:pPr>
                            <w:pStyle w:val="DocsID"/>
                            <w:spacing w:before="5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332200511" o:spid="_x0000_s1026" type="#_x0000_t202" style="position:absolute;margin-left:214.1pt;margin-top:.35pt;width:268.35pt;height:48.15pt;z-index:251677696;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" filled="f" stroked="f">
              <v:textbox inset="0,0,0,0">
                <w:txbxContent>
                  <w:p w:rsidR="005203B0" w:rsidRDefault="005203B0">
                    <w:pPr>
                      <w:pStyle w:val="DocsID"/>
                      <w:spacing w:before="560"/>
                    </w:pPr>
                  </w:p>
                </w:txbxContent>
              </v:textbox>
              <w10:wrap anchorx="margin"/>
              <w10:anchorlock/>
            </v:shape>
          </w:pict>
        </mc:Fallback>
      </mc:AlternateContent>
    </w:r>
    <w:r>
      <w:t xml:space="preserve"> </w:t>
    </w:r>
    <w:r>
      <w:rPr>
        <w:noProof/>
        <w:lang w:eastAsia="en-GB"/>
      </w:rPr>
      <w:drawing>
        <wp:inline distT="0" distB="0" distL="0" distR="0">
          <wp:extent cx="5760085" cy="45202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085" cy="452025"/>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B0" w:rsidRDefault="005203B0">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B0" w:rsidRDefault="00C46CFC">
    <w:pPr>
      <w:pStyle w:val="Footer"/>
      <w:spacing w:before="560"/>
      <w:jc w:val="center"/>
    </w:pPr>
    <w:r>
      <w:rPr>
        <w:noProof/>
        <w:lang w:eastAsia="en-GB"/>
      </w:rPr>
      <w:drawing>
        <wp:inline distT="0" distB="0" distL="0" distR="0">
          <wp:extent cx="5732145" cy="449832"/>
          <wp:effectExtent l="0" t="0" r="1905"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2145" cy="449832"/>
                  </a:xfrm>
                  <a:prstGeom prst="rect">
                    <a:avLst/>
                  </a:prstGeom>
                </pic:spPr>
              </pic:pic>
            </a:graphicData>
          </a:graphic>
        </wp:inline>
      </w:drawing>
    </w:r>
    <w:r>
      <w:fldChar w:fldCharType="begin"/>
    </w:r>
    <w:r>
      <w:instrText xml:space="preserve"> PAGE  \* MERGEFORMAT </w:instrText>
    </w:r>
    <w:r>
      <w:fldChar w:fldCharType="separate"/>
    </w:r>
    <w:r w:rsidR="00FF54A9">
      <w:rPr>
        <w:noProof/>
      </w:rPr>
      <w:t>1</w:t>
    </w:r>
    <w:r>
      <w:fldChar w:fldCharType="end"/>
    </w:r>
  </w:p>
  <w:p w:rsidR="005203B0" w:rsidRDefault="005203B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B0" w:rsidRDefault="00C46CFC">
    <w:pPr>
      <w:pStyle w:val="Footer"/>
      <w:spacing w:before="5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5203B0" w:rsidRDefault="005203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714" w:rsidRDefault="00033714">
      <w:r>
        <w:separator/>
      </w:r>
    </w:p>
  </w:footnote>
  <w:footnote w:type="continuationSeparator" w:id="0">
    <w:p w:rsidR="00033714" w:rsidRDefault="00033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B0" w:rsidRDefault="00520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B0" w:rsidRDefault="00C46CFC">
    <w:pPr>
      <w:pStyle w:val="Header"/>
      <w:spacing w:after="240"/>
      <w:rPr>
        <w:b/>
      </w:rPr>
    </w:pP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B0" w:rsidRDefault="00C46CFC">
    <w:pPr>
      <w:pStyle w:val="Header"/>
    </w:pPr>
    <w:r>
      <w:rPr>
        <w:b/>
        <w:i/>
        <w:noProof/>
        <w:lang w:eastAsia="en-GB"/>
      </w:rPr>
      <w:drawing>
        <wp:anchor distT="0" distB="0" distL="114300" distR="114300" simplePos="0" relativeHeight="251681792" behindDoc="1" locked="0" layoutInCell="1" allowOverlap="1">
          <wp:simplePos x="0" y="0"/>
          <wp:positionH relativeFrom="page">
            <wp:align>left</wp:align>
          </wp:positionH>
          <wp:positionV relativeFrom="page">
            <wp:posOffset>463550</wp:posOffset>
          </wp:positionV>
          <wp:extent cx="7560945" cy="965200"/>
          <wp:effectExtent l="0" t="0" r="1905" b="6350"/>
          <wp:wrapNone/>
          <wp:docPr id="12" name="Picture 12" descr="10024_DAS_Pension_Fund_Trustee_(Bristol)_Letterhead_June13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24_DAS_Pension_Fund_Trustee_(Bristol)_Letterhead_June13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882650" cy="882650"/>
          <wp:effectExtent l="0" t="0" r="0" b="0"/>
          <wp:docPr id="13" name="Picture 13" descr="ARAG_LogoM_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AG_LogoM_CMY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B0" w:rsidRDefault="00C46CFC">
    <w:pPr>
      <w:pStyle w:val="Header"/>
    </w:pPr>
    <w:r>
      <w:rPr>
        <w:b/>
        <w:i/>
        <w:noProof/>
        <w:lang w:eastAsia="en-GB"/>
      </w:rPr>
      <w:drawing>
        <wp:anchor distT="0" distB="0" distL="114300" distR="114300" simplePos="0" relativeHeight="251683840" behindDoc="1" locked="0" layoutInCell="1" allowOverlap="1">
          <wp:simplePos x="0" y="0"/>
          <wp:positionH relativeFrom="page">
            <wp:posOffset>-13970</wp:posOffset>
          </wp:positionH>
          <wp:positionV relativeFrom="topMargin">
            <wp:posOffset>438785</wp:posOffset>
          </wp:positionV>
          <wp:extent cx="7560945" cy="965200"/>
          <wp:effectExtent l="0" t="0" r="1905" b="6350"/>
          <wp:wrapNone/>
          <wp:docPr id="2" name="Picture 2" descr="10024_DAS_Pension_Fund_Trustee_(Bristol)_Letterhead_June13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24_DAS_Pension_Fund_Trustee_(Bristol)_Letterhead_June13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882650" cy="882650"/>
          <wp:effectExtent l="0" t="0" r="0" b="0"/>
          <wp:docPr id="4" name="Picture 4" descr="ARAG_LogoM_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AG_LogoM_CMY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p>
  <w:p w:rsidR="005203B0" w:rsidRDefault="005203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B0" w:rsidRDefault="005203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B0" w:rsidRDefault="00C46CFC">
    <w:pPr>
      <w:pStyle w:val="Header"/>
    </w:pPr>
    <w:r>
      <w:rPr>
        <w:b/>
        <w:i/>
        <w:noProof/>
        <w:lang w:eastAsia="en-GB"/>
      </w:rPr>
      <w:drawing>
        <wp:anchor distT="0" distB="0" distL="114300" distR="114300" simplePos="0" relativeHeight="251685888" behindDoc="1" locked="0" layoutInCell="1" allowOverlap="1">
          <wp:simplePos x="0" y="0"/>
          <wp:positionH relativeFrom="page">
            <wp:align>left</wp:align>
          </wp:positionH>
          <wp:positionV relativeFrom="page">
            <wp:posOffset>457200</wp:posOffset>
          </wp:positionV>
          <wp:extent cx="7560945" cy="965200"/>
          <wp:effectExtent l="0" t="0" r="1905" b="6350"/>
          <wp:wrapNone/>
          <wp:docPr id="5" name="Picture 5" descr="10024_DAS_Pension_Fund_Trustee_(Bristol)_Letterhead_June13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24_DAS_Pension_Fund_Trustee_(Bristol)_Letterhead_June13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882650" cy="882650"/>
          <wp:effectExtent l="0" t="0" r="0" b="0"/>
          <wp:docPr id="7" name="Picture 7" descr="ARAG_LogoM_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AG_LogoM_CMY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p>
  <w:p w:rsidR="005203B0" w:rsidRDefault="005203B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B0" w:rsidRDefault="005203B0">
    <w:pPr>
      <w:pStyle w:val="Header"/>
    </w:pPr>
  </w:p>
  <w:p w:rsidR="005203B0" w:rsidRDefault="005203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6B09"/>
    <w:multiLevelType w:val="hybridMultilevel"/>
    <w:tmpl w:val="D3F4D624"/>
    <w:lvl w:ilvl="0" w:tplc="E264AA90">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A80"/>
    <w:multiLevelType w:val="hybridMultilevel"/>
    <w:tmpl w:val="7768573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F3A1A26"/>
    <w:multiLevelType w:val="hybridMultilevel"/>
    <w:tmpl w:val="4EAA433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0521604"/>
    <w:multiLevelType w:val="hybridMultilevel"/>
    <w:tmpl w:val="26D4DE44"/>
    <w:name w:val="Parties"/>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945EEF"/>
    <w:multiLevelType w:val="hybridMultilevel"/>
    <w:tmpl w:val="D498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147208"/>
    <w:multiLevelType w:val="hybridMultilevel"/>
    <w:tmpl w:val="E73EC79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706246"/>
    <w:multiLevelType w:val="multilevel"/>
    <w:tmpl w:val="675E14F2"/>
    <w:styleLink w:val="Schedule1List"/>
    <w:lvl w:ilvl="0">
      <w:start w:val="1"/>
      <w:numFmt w:val="decimal"/>
      <w:lvlRestart w:val="0"/>
      <w:suff w:val="nothing"/>
      <w:lvlText w:val="Schedule %1"/>
      <w:lvlJc w:val="left"/>
      <w:pPr>
        <w:tabs>
          <w:tab w:val="num" w:pos="567"/>
        </w:tabs>
        <w:ind w:left="0" w:firstLine="0"/>
      </w:pPr>
      <w:rPr>
        <w:rFonts w:ascii="Arial" w:hAnsi="Arial" w:cs="Arial"/>
        <w:b/>
        <w:i w:val="0"/>
        <w:caps w:val="0"/>
        <w:smallCaps w:val="0"/>
        <w:color w:val="auto"/>
        <w:sz w:val="24"/>
        <w:u w:val="none"/>
      </w:rPr>
    </w:lvl>
    <w:lvl w:ilvl="1">
      <w:start w:val="1"/>
      <w:numFmt w:val="decimal"/>
      <w:lvlText w:val="%2"/>
      <w:lvlJc w:val="left"/>
      <w:pPr>
        <w:tabs>
          <w:tab w:val="num" w:pos="567"/>
        </w:tabs>
        <w:ind w:left="567" w:hanging="567"/>
      </w:pPr>
      <w:rPr>
        <w:rFonts w:ascii="Arial" w:hAnsi="Arial" w:cs="Arial"/>
        <w:b w:val="0"/>
        <w:i w:val="0"/>
        <w:caps w:val="0"/>
        <w:smallCaps w:val="0"/>
        <w:color w:val="auto"/>
        <w:sz w:val="20"/>
        <w:u w:val="none"/>
      </w:rPr>
    </w:lvl>
    <w:lvl w:ilvl="2">
      <w:start w:val="1"/>
      <w:numFmt w:val="lowerLetter"/>
      <w:lvlText w:val="(%3)"/>
      <w:lvlJc w:val="left"/>
      <w:pPr>
        <w:tabs>
          <w:tab w:val="num" w:pos="1134"/>
        </w:tabs>
        <w:ind w:left="1134" w:hanging="567"/>
      </w:pPr>
      <w:rPr>
        <w:rFonts w:ascii="Arial" w:hAnsi="Arial" w:cs="Arial"/>
        <w:b w:val="0"/>
        <w:i w:val="0"/>
        <w:caps w:val="0"/>
        <w:smallCaps w:val="0"/>
        <w:color w:val="auto"/>
        <w:sz w:val="20"/>
        <w:u w:val="none"/>
      </w:rPr>
    </w:lvl>
    <w:lvl w:ilvl="3">
      <w:start w:val="1"/>
      <w:numFmt w:val="lowerRoman"/>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upperRoman"/>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decimal"/>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7" w15:restartNumberingAfterBreak="0">
    <w:nsid w:val="40AD5F02"/>
    <w:multiLevelType w:val="multilevel"/>
    <w:tmpl w:val="293A015A"/>
    <w:name w:val="Schedule1.-418346602-F"/>
    <w:styleLink w:val="Schedule1List0"/>
    <w:lvl w:ilvl="0">
      <w:start w:val="1"/>
      <w:numFmt w:val="none"/>
      <w:lvlRestart w:val="0"/>
      <w:pStyle w:val="Schedule1L1"/>
      <w:suff w:val="nothing"/>
      <w:lvlText w:val="Appendix"/>
      <w:lvlJc w:val="left"/>
      <w:pPr>
        <w:ind w:left="0" w:firstLine="0"/>
      </w:pPr>
      <w:rPr>
        <w:rFonts w:ascii="Arial" w:hAnsi="Arial" w:cs="Arial" w:hint="default"/>
        <w:b w:val="0"/>
        <w:i w:val="0"/>
        <w:sz w:val="36"/>
      </w:rPr>
    </w:lvl>
    <w:lvl w:ilvl="1">
      <w:start w:val="1"/>
      <w:numFmt w:val="decimal"/>
      <w:pStyle w:val="Schedule1L2"/>
      <w:lvlText w:val="%2"/>
      <w:lvlJc w:val="left"/>
      <w:pPr>
        <w:tabs>
          <w:tab w:val="num" w:pos="567"/>
        </w:tabs>
        <w:ind w:left="567" w:hanging="567"/>
      </w:pPr>
      <w:rPr>
        <w:rFonts w:ascii="Arial" w:hAnsi="Arial" w:cs="Arial" w:hint="default"/>
        <w:sz w:val="20"/>
      </w:rPr>
    </w:lvl>
    <w:lvl w:ilvl="2">
      <w:start w:val="1"/>
      <w:numFmt w:val="lowerLetter"/>
      <w:pStyle w:val="Schedule1L3"/>
      <w:lvlText w:val="(%3)"/>
      <w:lvlJc w:val="left"/>
      <w:pPr>
        <w:tabs>
          <w:tab w:val="num" w:pos="1134"/>
        </w:tabs>
        <w:ind w:left="1134" w:hanging="567"/>
      </w:pPr>
      <w:rPr>
        <w:rFonts w:ascii="Arial" w:hAnsi="Arial" w:cs="Arial" w:hint="default"/>
        <w:sz w:val="20"/>
      </w:rPr>
    </w:lvl>
    <w:lvl w:ilvl="3">
      <w:start w:val="1"/>
      <w:numFmt w:val="lowerRoman"/>
      <w:pStyle w:val="Schedule1L4"/>
      <w:lvlText w:val="(%4)"/>
      <w:lvlJc w:val="left"/>
      <w:pPr>
        <w:tabs>
          <w:tab w:val="num" w:pos="1701"/>
        </w:tabs>
        <w:ind w:left="1701" w:hanging="567"/>
      </w:pPr>
      <w:rPr>
        <w:rFonts w:ascii="Arial" w:hAnsi="Arial" w:cs="Arial" w:hint="default"/>
        <w:sz w:val="20"/>
      </w:rPr>
    </w:lvl>
    <w:lvl w:ilvl="4">
      <w:start w:val="1"/>
      <w:numFmt w:val="upperLetter"/>
      <w:pStyle w:val="Schedule1L5"/>
      <w:lvlText w:val="(%5)"/>
      <w:lvlJc w:val="left"/>
      <w:pPr>
        <w:tabs>
          <w:tab w:val="num" w:pos="2268"/>
        </w:tabs>
        <w:ind w:left="2268" w:hanging="567"/>
      </w:pPr>
      <w:rPr>
        <w:rFonts w:ascii="Arial" w:hAnsi="Arial" w:cs="Arial" w:hint="default"/>
        <w:sz w:val="20"/>
      </w:rPr>
    </w:lvl>
    <w:lvl w:ilvl="5">
      <w:start w:val="1"/>
      <w:numFmt w:val="upperRoman"/>
      <w:pStyle w:val="Schedule1L6"/>
      <w:lvlText w:val="(%6)"/>
      <w:lvlJc w:val="left"/>
      <w:pPr>
        <w:tabs>
          <w:tab w:val="num" w:pos="2835"/>
        </w:tabs>
        <w:ind w:left="2835" w:hanging="567"/>
      </w:pPr>
      <w:rPr>
        <w:rFonts w:ascii="Arial" w:hAnsi="Arial" w:cs="Arial" w:hint="default"/>
        <w:sz w:val="20"/>
      </w:rPr>
    </w:lvl>
    <w:lvl w:ilvl="6">
      <w:start w:val="1"/>
      <w:numFmt w:val="decimal"/>
      <w:pStyle w:val="Schedule1L7"/>
      <w:lvlText w:val="(%7)"/>
      <w:lvlJc w:val="left"/>
      <w:pPr>
        <w:tabs>
          <w:tab w:val="num" w:pos="3402"/>
        </w:tabs>
        <w:ind w:left="3402" w:hanging="567"/>
      </w:pPr>
      <w:rPr>
        <w:rFonts w:ascii="Arial" w:hAnsi="Arial" w:cs="Arial" w:hint="default"/>
        <w:sz w:val="20"/>
      </w:rPr>
    </w:lvl>
    <w:lvl w:ilvl="7">
      <w:start w:val="1"/>
      <w:numFmt w:val="lowerLetter"/>
      <w:pStyle w:val="Schedule1L8"/>
      <w:lvlText w:val="%8."/>
      <w:lvlJc w:val="left"/>
      <w:pPr>
        <w:tabs>
          <w:tab w:val="num" w:pos="3969"/>
        </w:tabs>
        <w:ind w:left="3969" w:hanging="567"/>
      </w:pPr>
      <w:rPr>
        <w:rFonts w:ascii="Arial" w:hAnsi="Arial" w:cs="Arial" w:hint="default"/>
        <w:sz w:val="20"/>
      </w:rPr>
    </w:lvl>
    <w:lvl w:ilvl="8">
      <w:start w:val="1"/>
      <w:numFmt w:val="lowerRoman"/>
      <w:pStyle w:val="Schedule1L9"/>
      <w:lvlText w:val="%9."/>
      <w:lvlJc w:val="left"/>
      <w:pPr>
        <w:tabs>
          <w:tab w:val="num" w:pos="4535"/>
        </w:tabs>
        <w:ind w:left="4535" w:hanging="566"/>
      </w:pPr>
      <w:rPr>
        <w:rFonts w:ascii="Arial" w:hAnsi="Arial" w:cs="Arial" w:hint="default"/>
        <w:sz w:val="20"/>
      </w:rPr>
    </w:lvl>
  </w:abstractNum>
  <w:abstractNum w:abstractNumId="8" w15:restartNumberingAfterBreak="0">
    <w:nsid w:val="414E0686"/>
    <w:multiLevelType w:val="hybridMultilevel"/>
    <w:tmpl w:val="E73EC79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C0412A"/>
    <w:multiLevelType w:val="hybridMultilevel"/>
    <w:tmpl w:val="4C445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A4241A"/>
    <w:multiLevelType w:val="hybridMultilevel"/>
    <w:tmpl w:val="E5407068"/>
    <w:lvl w:ilvl="0" w:tplc="60EC9C8C">
      <w:start w:val="1"/>
      <w:numFmt w:val="decimal"/>
      <w:lvlText w:val="(%1)"/>
      <w:lvlJc w:val="left"/>
      <w:pPr>
        <w:ind w:left="405" w:hanging="360"/>
      </w:pPr>
      <w:rPr>
        <w:rFonts w:hint="default"/>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1" w15:restartNumberingAfterBreak="0">
    <w:nsid w:val="5F6B5F85"/>
    <w:multiLevelType w:val="hybridMultilevel"/>
    <w:tmpl w:val="E73EC79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5A080A"/>
    <w:multiLevelType w:val="hybridMultilevel"/>
    <w:tmpl w:val="334A22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E5049"/>
    <w:multiLevelType w:val="multilevel"/>
    <w:tmpl w:val="082E065C"/>
    <w:name w:val="Legal1.-419784402-F"/>
    <w:lvl w:ilvl="0">
      <w:start w:val="1"/>
      <w:numFmt w:val="decimal"/>
      <w:lvlRestart w:val="0"/>
      <w:pStyle w:val="Legal1L1"/>
      <w:suff w:val="nothing"/>
      <w:lvlText w:val="Section %1 "/>
      <w:lvlJc w:val="left"/>
      <w:pPr>
        <w:ind w:left="0" w:firstLine="0"/>
      </w:pPr>
      <w:rPr>
        <w:rFonts w:ascii="Arial" w:hAnsi="Arial" w:cs="Arial" w:hint="default"/>
        <w:b w:val="0"/>
        <w:sz w:val="24"/>
      </w:rPr>
    </w:lvl>
    <w:lvl w:ilvl="1">
      <w:start w:val="1"/>
      <w:numFmt w:val="decimal"/>
      <w:lvlRestart w:val="0"/>
      <w:pStyle w:val="Legal1L2"/>
      <w:lvlText w:val="%2"/>
      <w:lvlJc w:val="right"/>
      <w:pPr>
        <w:tabs>
          <w:tab w:val="num" w:pos="567"/>
        </w:tabs>
        <w:ind w:left="567" w:hanging="454"/>
      </w:pPr>
      <w:rPr>
        <w:rFonts w:ascii="Arial" w:hAnsi="Arial" w:cs="Arial" w:hint="default"/>
        <w:b/>
        <w:i w:val="0"/>
        <w:caps w:val="0"/>
        <w:smallCaps w:val="0"/>
        <w:sz w:val="24"/>
        <w:u w:val="none"/>
      </w:rPr>
    </w:lvl>
    <w:lvl w:ilvl="2">
      <w:start w:val="1"/>
      <w:numFmt w:val="decimal"/>
      <w:pStyle w:val="Legal1L3"/>
      <w:isLgl/>
      <w:suff w:val="space"/>
      <w:lvlText w:val="%2.%3"/>
      <w:lvlJc w:val="left"/>
      <w:pPr>
        <w:ind w:left="0" w:firstLine="0"/>
      </w:pPr>
      <w:rPr>
        <w:rFonts w:ascii="Arial" w:hAnsi="Arial" w:cs="Arial" w:hint="default"/>
        <w:b/>
        <w:sz w:val="20"/>
      </w:rPr>
    </w:lvl>
    <w:lvl w:ilvl="3">
      <w:start w:val="1"/>
      <w:numFmt w:val="lowerLetter"/>
      <w:pStyle w:val="Legal1L4"/>
      <w:lvlText w:val="(%4)"/>
      <w:lvlJc w:val="left"/>
      <w:pPr>
        <w:tabs>
          <w:tab w:val="num" w:pos="1134"/>
        </w:tabs>
        <w:ind w:left="1134" w:hanging="567"/>
      </w:pPr>
      <w:rPr>
        <w:rFonts w:ascii="Arial" w:hAnsi="Arial" w:cs="Arial" w:hint="default"/>
        <w:sz w:val="20"/>
      </w:rPr>
    </w:lvl>
    <w:lvl w:ilvl="4">
      <w:start w:val="1"/>
      <w:numFmt w:val="lowerRoman"/>
      <w:pStyle w:val="Legal1L5"/>
      <w:lvlText w:val="(%5)"/>
      <w:lvlJc w:val="left"/>
      <w:pPr>
        <w:tabs>
          <w:tab w:val="num" w:pos="1701"/>
        </w:tabs>
        <w:ind w:left="1701" w:hanging="567"/>
      </w:pPr>
      <w:rPr>
        <w:rFonts w:ascii="Arial" w:hAnsi="Arial" w:cs="Arial" w:hint="default"/>
        <w:sz w:val="20"/>
      </w:rPr>
    </w:lvl>
    <w:lvl w:ilvl="5">
      <w:start w:val="1"/>
      <w:numFmt w:val="upperLetter"/>
      <w:pStyle w:val="Legal1L6"/>
      <w:lvlText w:val="(%6)"/>
      <w:lvlJc w:val="left"/>
      <w:pPr>
        <w:tabs>
          <w:tab w:val="num" w:pos="2268"/>
        </w:tabs>
        <w:ind w:left="2268" w:hanging="567"/>
      </w:pPr>
      <w:rPr>
        <w:rFonts w:ascii="Arial" w:hAnsi="Arial" w:cs="Arial" w:hint="default"/>
        <w:sz w:val="20"/>
      </w:rPr>
    </w:lvl>
    <w:lvl w:ilvl="6">
      <w:start w:val="1"/>
      <w:numFmt w:val="upperRoman"/>
      <w:pStyle w:val="Legal1L7"/>
      <w:lvlText w:val="%7)"/>
      <w:lvlJc w:val="left"/>
      <w:pPr>
        <w:tabs>
          <w:tab w:val="num" w:pos="2835"/>
        </w:tabs>
        <w:ind w:left="2835" w:hanging="567"/>
      </w:pPr>
      <w:rPr>
        <w:rFonts w:ascii="Arial" w:hAnsi="Arial" w:cs="Arial" w:hint="default"/>
        <w:sz w:val="20"/>
      </w:rPr>
    </w:lvl>
    <w:lvl w:ilvl="7">
      <w:start w:val="1"/>
      <w:numFmt w:val="decimal"/>
      <w:pStyle w:val="Legal1L8"/>
      <w:lvlText w:val="%8)"/>
      <w:lvlJc w:val="left"/>
      <w:pPr>
        <w:tabs>
          <w:tab w:val="num" w:pos="3402"/>
        </w:tabs>
        <w:ind w:left="3402" w:hanging="567"/>
      </w:pPr>
      <w:rPr>
        <w:rFonts w:ascii="Arial" w:hAnsi="Arial" w:cs="Arial" w:hint="default"/>
        <w:sz w:val="20"/>
      </w:rPr>
    </w:lvl>
    <w:lvl w:ilvl="8">
      <w:start w:val="1"/>
      <w:numFmt w:val="lowerLetter"/>
      <w:pStyle w:val="Legal1L9"/>
      <w:lvlText w:val="%9)"/>
      <w:lvlJc w:val="left"/>
      <w:pPr>
        <w:tabs>
          <w:tab w:val="num" w:pos="3969"/>
        </w:tabs>
        <w:ind w:left="3969" w:hanging="567"/>
      </w:pPr>
      <w:rPr>
        <w:rFonts w:ascii="Arial" w:hAnsi="Arial" w:cs="Arial" w:hint="default"/>
        <w:sz w:val="20"/>
      </w:rPr>
    </w:lvl>
  </w:abstractNum>
  <w:abstractNum w:abstractNumId="14" w15:restartNumberingAfterBreak="0">
    <w:nsid w:val="69F06850"/>
    <w:multiLevelType w:val="hybridMultilevel"/>
    <w:tmpl w:val="BBE27106"/>
    <w:lvl w:ilvl="0" w:tplc="79B483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0B2D74"/>
    <w:multiLevelType w:val="hybridMultilevel"/>
    <w:tmpl w:val="113A64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1C61902"/>
    <w:multiLevelType w:val="multilevel"/>
    <w:tmpl w:val="BD60C11C"/>
    <w:name w:val="Bullets.-415376531-F"/>
    <w:styleLink w:val="BulletsList"/>
    <w:lvl w:ilvl="0">
      <w:start w:val="1"/>
      <w:numFmt w:val="bullet"/>
      <w:lvlRestart w:val="0"/>
      <w:pStyle w:val="BulletsL1"/>
      <w:lvlText w:val="·"/>
      <w:lvlJc w:val="left"/>
      <w:pPr>
        <w:tabs>
          <w:tab w:val="num" w:pos="567"/>
        </w:tabs>
        <w:ind w:left="567" w:hanging="567"/>
      </w:pPr>
      <w:rPr>
        <w:rFonts w:ascii="Symbol" w:hAnsi="Symbol" w:hint="default"/>
        <w:b w:val="0"/>
        <w:i w:val="0"/>
        <w:caps w:val="0"/>
        <w:smallCaps w:val="0"/>
        <w:sz w:val="20"/>
        <w:u w:val="none"/>
      </w:rPr>
    </w:lvl>
    <w:lvl w:ilvl="1">
      <w:start w:val="1"/>
      <w:numFmt w:val="bullet"/>
      <w:lvlRestart w:val="0"/>
      <w:pStyle w:val="BulletsL2"/>
      <w:lvlText w:val="·"/>
      <w:lvlJc w:val="left"/>
      <w:pPr>
        <w:tabs>
          <w:tab w:val="num" w:pos="1134"/>
        </w:tabs>
        <w:ind w:left="1134" w:hanging="567"/>
      </w:pPr>
      <w:rPr>
        <w:rFonts w:ascii="Symbol" w:hAnsi="Symbol" w:hint="default"/>
        <w:b w:val="0"/>
        <w:i w:val="0"/>
        <w:caps w:val="0"/>
        <w:smallCaps w:val="0"/>
        <w:sz w:val="20"/>
        <w:u w:val="none"/>
      </w:rPr>
    </w:lvl>
    <w:lvl w:ilvl="2">
      <w:start w:val="1"/>
      <w:numFmt w:val="bullet"/>
      <w:lvlRestart w:val="0"/>
      <w:pStyle w:val="BulletsL3"/>
      <w:lvlText w:val="·"/>
      <w:lvlJc w:val="left"/>
      <w:pPr>
        <w:tabs>
          <w:tab w:val="num" w:pos="1701"/>
        </w:tabs>
        <w:ind w:left="1701" w:hanging="567"/>
      </w:pPr>
      <w:rPr>
        <w:rFonts w:ascii="Symbol" w:hAnsi="Symbol" w:hint="default"/>
        <w:b w:val="0"/>
        <w:i w:val="0"/>
        <w:caps w:val="0"/>
        <w:smallCaps w:val="0"/>
        <w:sz w:val="20"/>
        <w:u w:val="none"/>
      </w:rPr>
    </w:lvl>
    <w:lvl w:ilvl="3">
      <w:start w:val="1"/>
      <w:numFmt w:val="bullet"/>
      <w:lvlRestart w:val="0"/>
      <w:pStyle w:val="BulletsL4"/>
      <w:lvlText w:val="·"/>
      <w:lvlJc w:val="left"/>
      <w:pPr>
        <w:tabs>
          <w:tab w:val="num" w:pos="2268"/>
        </w:tabs>
        <w:ind w:left="2268" w:hanging="567"/>
      </w:pPr>
      <w:rPr>
        <w:rFonts w:ascii="Symbol" w:hAnsi="Symbol" w:hint="default"/>
        <w:b w:val="0"/>
        <w:i w:val="0"/>
        <w:caps w:val="0"/>
        <w:smallCaps w:val="0"/>
        <w:sz w:val="20"/>
        <w:u w:val="none"/>
      </w:rPr>
    </w:lvl>
    <w:lvl w:ilvl="4">
      <w:start w:val="1"/>
      <w:numFmt w:val="bullet"/>
      <w:lvlRestart w:val="0"/>
      <w:pStyle w:val="BulletsL5"/>
      <w:lvlText w:val="·"/>
      <w:lvlJc w:val="left"/>
      <w:pPr>
        <w:tabs>
          <w:tab w:val="num" w:pos="2835"/>
        </w:tabs>
        <w:ind w:left="2835" w:hanging="567"/>
      </w:pPr>
      <w:rPr>
        <w:rFonts w:ascii="Symbol" w:hAnsi="Symbol" w:hint="default"/>
        <w:b w:val="0"/>
        <w:i w:val="0"/>
        <w:caps w:val="0"/>
        <w:smallCaps w:val="0"/>
        <w:sz w:val="20"/>
        <w:u w:val="none"/>
      </w:rPr>
    </w:lvl>
    <w:lvl w:ilvl="5">
      <w:start w:val="1"/>
      <w:numFmt w:val="bullet"/>
      <w:lvlRestart w:val="0"/>
      <w:pStyle w:val="BulletsL6"/>
      <w:lvlText w:val="·"/>
      <w:lvlJc w:val="left"/>
      <w:pPr>
        <w:tabs>
          <w:tab w:val="num" w:pos="3402"/>
        </w:tabs>
        <w:ind w:left="3402" w:hanging="567"/>
      </w:pPr>
      <w:rPr>
        <w:rFonts w:ascii="Symbol" w:hAnsi="Symbol" w:hint="default"/>
        <w:b w:val="0"/>
        <w:i w:val="0"/>
        <w:caps w:val="0"/>
        <w:smallCaps w:val="0"/>
        <w:sz w:val="20"/>
        <w:u w:val="none"/>
      </w:rPr>
    </w:lvl>
    <w:lvl w:ilvl="6">
      <w:start w:val="1"/>
      <w:numFmt w:val="bullet"/>
      <w:lvlRestart w:val="0"/>
      <w:pStyle w:val="BulletsL7"/>
      <w:lvlText w:val="·"/>
      <w:lvlJc w:val="left"/>
      <w:pPr>
        <w:tabs>
          <w:tab w:val="num" w:pos="3969"/>
        </w:tabs>
        <w:ind w:left="3969" w:hanging="567"/>
      </w:pPr>
      <w:rPr>
        <w:rFonts w:ascii="Symbol" w:hAnsi="Symbol" w:hint="default"/>
        <w:b w:val="0"/>
        <w:i w:val="0"/>
        <w:caps w:val="0"/>
        <w:smallCaps w:val="0"/>
        <w:sz w:val="20"/>
        <w:u w:val="none"/>
      </w:rPr>
    </w:lvl>
    <w:lvl w:ilvl="7">
      <w:start w:val="1"/>
      <w:numFmt w:val="bullet"/>
      <w:lvlRestart w:val="0"/>
      <w:pStyle w:val="BulletsL8"/>
      <w:lvlText w:val="·"/>
      <w:lvlJc w:val="left"/>
      <w:pPr>
        <w:tabs>
          <w:tab w:val="num" w:pos="4535"/>
        </w:tabs>
        <w:ind w:left="4535" w:hanging="566"/>
      </w:pPr>
      <w:rPr>
        <w:rFonts w:ascii="Symbol" w:hAnsi="Symbol" w:hint="default"/>
        <w:b w:val="0"/>
        <w:i w:val="0"/>
        <w:caps w:val="0"/>
        <w:smallCaps w:val="0"/>
        <w:sz w:val="20"/>
        <w:u w:val="none"/>
      </w:rPr>
    </w:lvl>
    <w:lvl w:ilvl="8">
      <w:start w:val="1"/>
      <w:numFmt w:val="bullet"/>
      <w:lvlRestart w:val="0"/>
      <w:pStyle w:val="BulletsL9"/>
      <w:lvlText w:val="·"/>
      <w:lvlJc w:val="left"/>
      <w:pPr>
        <w:tabs>
          <w:tab w:val="num" w:pos="5102"/>
        </w:tabs>
        <w:ind w:left="5102" w:hanging="567"/>
      </w:pPr>
      <w:rPr>
        <w:rFonts w:ascii="Symbol" w:hAnsi="Symbol" w:hint="default"/>
        <w:b w:val="0"/>
        <w:i w:val="0"/>
        <w:caps w:val="0"/>
        <w:smallCaps w:val="0"/>
        <w:sz w:val="20"/>
        <w:u w:val="none"/>
      </w:rPr>
    </w:lvl>
  </w:abstractNum>
  <w:abstractNum w:abstractNumId="17" w15:restartNumberingAfterBreak="0">
    <w:nsid w:val="72643564"/>
    <w:multiLevelType w:val="multilevel"/>
    <w:tmpl w:val="FE48A1DE"/>
    <w:styleLink w:val="Legal1List"/>
    <w:lvl w:ilvl="0">
      <w:start w:val="1"/>
      <w:numFmt w:val="decimal"/>
      <w:lvlRestart w:val="0"/>
      <w:suff w:val="nothing"/>
      <w:lvlText w:val="Section %1 - "/>
      <w:lvlJc w:val="left"/>
      <w:pPr>
        <w:tabs>
          <w:tab w:val="num" w:pos="720"/>
        </w:tabs>
        <w:ind w:left="0" w:firstLine="0"/>
      </w:pPr>
      <w:rPr>
        <w:rFonts w:ascii="Arial" w:hAnsi="Arial" w:cs="Arial"/>
        <w:b/>
        <w:sz w:val="24"/>
      </w:rPr>
    </w:lvl>
    <w:lvl w:ilvl="1">
      <w:start w:val="1"/>
      <w:numFmt w:val="decimal"/>
      <w:lvlRestart w:val="0"/>
      <w:lvlText w:val="%2"/>
      <w:lvlJc w:val="right"/>
      <w:pPr>
        <w:tabs>
          <w:tab w:val="num" w:pos="567"/>
        </w:tabs>
        <w:ind w:left="567" w:hanging="454"/>
      </w:pPr>
      <w:rPr>
        <w:rFonts w:ascii="Arial" w:hAnsi="Arial" w:cs="Arial"/>
        <w:b/>
        <w:i w:val="0"/>
        <w:caps w:val="0"/>
        <w:smallCaps w:val="0"/>
        <w:sz w:val="24"/>
        <w:u w:val="none"/>
      </w:rPr>
    </w:lvl>
    <w:lvl w:ilvl="2">
      <w:start w:val="1"/>
      <w:numFmt w:val="decimal"/>
      <w:isLgl/>
      <w:lvlText w:val="%2.%3"/>
      <w:lvlJc w:val="right"/>
      <w:pPr>
        <w:tabs>
          <w:tab w:val="num" w:pos="567"/>
        </w:tabs>
        <w:ind w:left="567" w:hanging="454"/>
      </w:pPr>
      <w:rPr>
        <w:rFonts w:ascii="Arial" w:hAnsi="Arial" w:cs="Arial"/>
        <w:sz w:val="20"/>
      </w:rPr>
    </w:lvl>
    <w:lvl w:ilvl="3">
      <w:start w:val="1"/>
      <w:numFmt w:val="lowerLetter"/>
      <w:lvlText w:val="(%4)"/>
      <w:lvlJc w:val="left"/>
      <w:pPr>
        <w:tabs>
          <w:tab w:val="num" w:pos="1134"/>
        </w:tabs>
        <w:ind w:left="1134" w:hanging="567"/>
      </w:pPr>
      <w:rPr>
        <w:rFonts w:ascii="Arial" w:hAnsi="Arial" w:cs="Arial"/>
        <w:sz w:val="20"/>
      </w:rPr>
    </w:lvl>
    <w:lvl w:ilvl="4">
      <w:start w:val="1"/>
      <w:numFmt w:val="lowerRoman"/>
      <w:lvlText w:val="(%5)"/>
      <w:lvlJc w:val="left"/>
      <w:pPr>
        <w:tabs>
          <w:tab w:val="num" w:pos="1701"/>
        </w:tabs>
        <w:ind w:left="1701" w:hanging="567"/>
      </w:pPr>
      <w:rPr>
        <w:rFonts w:ascii="Arial" w:hAnsi="Arial" w:cs="Arial"/>
        <w:sz w:val="20"/>
      </w:rPr>
    </w:lvl>
    <w:lvl w:ilvl="5">
      <w:start w:val="1"/>
      <w:numFmt w:val="upperLetter"/>
      <w:lvlText w:val="(%6)"/>
      <w:lvlJc w:val="left"/>
      <w:pPr>
        <w:tabs>
          <w:tab w:val="num" w:pos="2268"/>
        </w:tabs>
        <w:ind w:left="2268" w:hanging="567"/>
      </w:pPr>
      <w:rPr>
        <w:rFonts w:ascii="Arial" w:hAnsi="Arial" w:cs="Arial"/>
        <w:sz w:val="20"/>
      </w:rPr>
    </w:lvl>
    <w:lvl w:ilvl="6">
      <w:start w:val="1"/>
      <w:numFmt w:val="upperRoman"/>
      <w:lvlText w:val="%7)"/>
      <w:lvlJc w:val="left"/>
      <w:pPr>
        <w:tabs>
          <w:tab w:val="num" w:pos="2835"/>
        </w:tabs>
        <w:ind w:left="2835" w:hanging="567"/>
      </w:pPr>
      <w:rPr>
        <w:rFonts w:ascii="Arial" w:hAnsi="Arial" w:cs="Arial"/>
        <w:sz w:val="20"/>
      </w:rPr>
    </w:lvl>
    <w:lvl w:ilvl="7">
      <w:start w:val="1"/>
      <w:numFmt w:val="decimal"/>
      <w:lvlText w:val="%8)"/>
      <w:lvlJc w:val="left"/>
      <w:pPr>
        <w:tabs>
          <w:tab w:val="num" w:pos="3402"/>
        </w:tabs>
        <w:ind w:left="3402" w:hanging="567"/>
      </w:pPr>
      <w:rPr>
        <w:rFonts w:ascii="Arial" w:hAnsi="Arial" w:cs="Arial"/>
        <w:sz w:val="20"/>
      </w:rPr>
    </w:lvl>
    <w:lvl w:ilvl="8">
      <w:start w:val="1"/>
      <w:numFmt w:val="lowerLetter"/>
      <w:lvlText w:val="%9)"/>
      <w:lvlJc w:val="left"/>
      <w:pPr>
        <w:tabs>
          <w:tab w:val="num" w:pos="3969"/>
        </w:tabs>
        <w:ind w:left="3969" w:hanging="567"/>
      </w:pPr>
      <w:rPr>
        <w:rFonts w:ascii="Arial" w:hAnsi="Arial" w:cs="Arial"/>
        <w:sz w:val="20"/>
      </w:rPr>
    </w:lvl>
  </w:abstractNum>
  <w:abstractNum w:abstractNumId="18" w15:restartNumberingAfterBreak="0">
    <w:nsid w:val="798F30D8"/>
    <w:multiLevelType w:val="multilevel"/>
    <w:tmpl w:val="AC6E85AA"/>
    <w:name w:val="ParaNumbering"/>
    <w:styleLink w:val="ParaNumbering"/>
    <w:lvl w:ilvl="0">
      <w:start w:val="1"/>
      <w:numFmt w:val="decimal"/>
      <w:pStyle w:val="EYHeading1"/>
      <w:lvlText w:val="%1."/>
      <w:lvlJc w:val="left"/>
      <w:pPr>
        <w:tabs>
          <w:tab w:val="num" w:pos="0"/>
        </w:tabs>
        <w:ind w:left="0" w:hanging="850"/>
      </w:pPr>
      <w:rPr>
        <w:b/>
        <w:color w:val="7F7E82"/>
        <w:sz w:val="32"/>
      </w:rPr>
    </w:lvl>
    <w:lvl w:ilvl="1">
      <w:start w:val="1"/>
      <w:numFmt w:val="decimal"/>
      <w:pStyle w:val="EYBodytextwithparaspace"/>
      <w:lvlText w:val="%1.%2"/>
      <w:lvlJc w:val="left"/>
      <w:pPr>
        <w:tabs>
          <w:tab w:val="num" w:pos="0"/>
        </w:tabs>
        <w:ind w:left="0" w:hanging="850"/>
      </w:pPr>
      <w:rPr>
        <w:b w:val="0"/>
        <w:i w:val="0"/>
        <w:color w:val="000000"/>
        <w:sz w:val="20"/>
      </w:rPr>
    </w:lvl>
    <w:lvl w:ilvl="2">
      <w:start w:val="1"/>
      <w:numFmt w:val="decimal"/>
      <w:lvlRestart w:val="1"/>
      <w:lvlText w:val=""/>
      <w:lvlJc w:val="left"/>
      <w:pPr>
        <w:tabs>
          <w:tab w:val="num" w:pos="0"/>
        </w:tabs>
        <w:ind w:left="0" w:firstLine="0"/>
      </w:pPr>
      <w:rPr>
        <w:b/>
        <w:color w:val="000000"/>
        <w:sz w:val="24"/>
      </w:rPr>
    </w:lvl>
    <w:lvl w:ilvl="3">
      <w:start w:val="1"/>
      <w:numFmt w:val="decimal"/>
      <w:lvlRestart w:val="1"/>
      <w:lvlText w:val=""/>
      <w:lvlJc w:val="left"/>
      <w:pPr>
        <w:tabs>
          <w:tab w:val="num" w:pos="0"/>
        </w:tabs>
        <w:ind w:left="0" w:firstLine="0"/>
      </w:pPr>
      <w:rPr>
        <w:b/>
        <w:color w:val="000000"/>
        <w:sz w:val="20"/>
      </w:rPr>
    </w:lvl>
    <w:lvl w:ilvl="4">
      <w:start w:val="1"/>
      <w:numFmt w:val="decimal"/>
      <w:lvlRestart w:val="1"/>
      <w:lvlText w:val=""/>
      <w:lvlJc w:val="left"/>
      <w:pPr>
        <w:tabs>
          <w:tab w:val="num" w:pos="0"/>
        </w:tabs>
        <w:ind w:left="0" w:firstLine="0"/>
      </w:pPr>
      <w:rPr>
        <w:b w:val="0"/>
        <w:color w:val="000000"/>
        <w:sz w:val="20"/>
      </w:r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3"/>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16"/>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4"/>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0"/>
  </w:num>
  <w:num w:numId="19">
    <w:abstractNumId w:val="9"/>
  </w:num>
  <w:num w:numId="20">
    <w:abstractNumId w:val="2"/>
  </w:num>
  <w:num w:numId="21">
    <w:abstractNumId w:val="8"/>
  </w:num>
  <w:num w:numId="22">
    <w:abstractNumId w:val="0"/>
  </w:num>
  <w:num w:numId="23">
    <w:abstractNumId w:val="11"/>
  </w:num>
  <w:num w:numId="24">
    <w:abstractNumId w:val="5"/>
  </w:num>
  <w:num w:numId="25">
    <w:abstractNumId w:val="12"/>
  </w:num>
  <w:num w:numId="26">
    <w:abstractNumId w:val="14"/>
  </w:num>
  <w:num w:numId="27">
    <w:abstractNumId w:val="13"/>
  </w:num>
  <w:num w:numId="28">
    <w:abstractNumId w:val="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3B0"/>
    <w:rsid w:val="00033714"/>
    <w:rsid w:val="005203B0"/>
    <w:rsid w:val="00C46CFC"/>
    <w:rsid w:val="00FF54A9"/>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B70A770-D300-4B5B-A739-3D60470F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29" w:unhideWhenUsed="1" w:qFormat="1"/>
    <w:lsdException w:name="heading 2" w:unhideWhenUsed="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line="360" w:lineRule="auto"/>
      <w:jc w:val="left"/>
      <w:outlineLvl w:val="0"/>
    </w:pPr>
    <w:rPr>
      <w:b/>
      <w:bCs/>
    </w:rPr>
  </w:style>
  <w:style w:type="paragraph" w:styleId="Heading2">
    <w:name w:val="heading 2"/>
    <w:basedOn w:val="Normal"/>
    <w:next w:val="Normal"/>
    <w:uiPriority w:val="99"/>
    <w:semiHidden/>
    <w:unhideWhenUsed/>
    <w:pPr>
      <w:keepNext/>
      <w:spacing w:before="120" w:line="360" w:lineRule="auto"/>
      <w:jc w:val="left"/>
      <w:outlineLvl w:val="1"/>
    </w:pPr>
    <w:rPr>
      <w:b/>
      <w:bCs/>
      <w:i/>
      <w:iCs/>
    </w:rPr>
  </w:style>
  <w:style w:type="paragraph" w:styleId="Heading3">
    <w:name w:val="heading 3"/>
    <w:basedOn w:val="Normal"/>
    <w:next w:val="Normal"/>
    <w:uiPriority w:val="99"/>
    <w:semiHidden/>
    <w:unhideWhenUsed/>
    <w:pPr>
      <w:keepNext/>
      <w:spacing w:before="120" w:line="360" w:lineRule="auto"/>
      <w:jc w:val="left"/>
      <w:outlineLvl w:val="2"/>
    </w:pPr>
  </w:style>
  <w:style w:type="paragraph" w:styleId="Heading4">
    <w:name w:val="heading 4"/>
    <w:basedOn w:val="Normal"/>
    <w:next w:val="Normal"/>
    <w:uiPriority w:val="99"/>
    <w:semiHidden/>
    <w:unhideWhenUsed/>
    <w:pPr>
      <w:keepNext/>
      <w:spacing w:before="120" w:line="360" w:lineRule="auto"/>
      <w:jc w:val="left"/>
      <w:outlineLvl w:val="3"/>
    </w:pPr>
    <w:rPr>
      <w:i/>
      <w:iCs/>
    </w:rPr>
  </w:style>
  <w:style w:type="paragraph" w:styleId="Heading5">
    <w:name w:val="heading 5"/>
    <w:basedOn w:val="Normal"/>
    <w:next w:val="Normal"/>
    <w:uiPriority w:val="99"/>
    <w:semiHidden/>
    <w:unhideWhenUsed/>
    <w:pPr>
      <w:keepNext/>
      <w:spacing w:before="120" w:line="360" w:lineRule="auto"/>
      <w:jc w:val="left"/>
      <w:outlineLvl w:val="4"/>
    </w:pPr>
  </w:style>
  <w:style w:type="paragraph" w:styleId="Heading6">
    <w:name w:val="heading 6"/>
    <w:basedOn w:val="Normal"/>
    <w:next w:val="Normal"/>
    <w:uiPriority w:val="99"/>
    <w:semiHidden/>
    <w:unhideWhenUsed/>
    <w:pPr>
      <w:keepNext/>
      <w:spacing w:before="120" w:line="360" w:lineRule="auto"/>
      <w:jc w:val="left"/>
      <w:outlineLvl w:val="5"/>
    </w:pPr>
  </w:style>
  <w:style w:type="paragraph" w:styleId="Heading7">
    <w:name w:val="heading 7"/>
    <w:basedOn w:val="Normal"/>
    <w:next w:val="Normal"/>
    <w:uiPriority w:val="99"/>
    <w:semiHidden/>
    <w:unhideWhenUsed/>
    <w:pPr>
      <w:keepNext/>
      <w:spacing w:before="120" w:line="360" w:lineRule="auto"/>
      <w:jc w:val="left"/>
      <w:outlineLvl w:val="6"/>
    </w:pPr>
  </w:style>
  <w:style w:type="paragraph" w:styleId="Heading8">
    <w:name w:val="heading 8"/>
    <w:basedOn w:val="Normal"/>
    <w:next w:val="Normal"/>
    <w:uiPriority w:val="99"/>
    <w:semiHidden/>
    <w:unhideWhenUsed/>
    <w:pPr>
      <w:keepNext/>
      <w:spacing w:before="120" w:line="360" w:lineRule="auto"/>
      <w:jc w:val="left"/>
      <w:outlineLvl w:val="7"/>
    </w:pPr>
  </w:style>
  <w:style w:type="paragraph" w:styleId="Heading9">
    <w:name w:val="heading 9"/>
    <w:basedOn w:val="Normal"/>
    <w:next w:val="Normal"/>
    <w:uiPriority w:val="99"/>
    <w:semiHidden/>
    <w:unhideWhenUsed/>
    <w:pPr>
      <w:keepNext/>
      <w:spacing w:before="120" w:line="360" w:lineRule="auto"/>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line="360" w:lineRule="auto"/>
    </w:pPr>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567"/>
        <w:tab w:val="right" w:leader="dot" w:pos="9071"/>
      </w:tabs>
      <w:spacing w:before="120" w:after="0"/>
      <w:ind w:right="142"/>
      <w:jc w:val="left"/>
    </w:pPr>
  </w:style>
  <w:style w:type="paragraph" w:styleId="TOC2">
    <w:name w:val="toc 2"/>
    <w:basedOn w:val="Normal"/>
    <w:next w:val="Normal"/>
    <w:autoRedefine/>
    <w:uiPriority w:val="99"/>
    <w:semiHidden/>
    <w:unhideWhenUsed/>
    <w:pPr>
      <w:tabs>
        <w:tab w:val="right" w:leader="dot" w:pos="9071"/>
      </w:tabs>
      <w:spacing w:before="120" w:after="0"/>
      <w:ind w:right="142"/>
      <w:jc w:val="left"/>
    </w:pPr>
  </w:style>
  <w:style w:type="paragraph" w:styleId="Subtitle">
    <w:name w:val="Subtitle"/>
    <w:basedOn w:val="Normal"/>
    <w:next w:val="Normal"/>
    <w:uiPriority w:val="99"/>
    <w:semiHidden/>
    <w:unhideWhenUsed/>
    <w:pPr>
      <w:spacing w:line="360" w:lineRule="auto"/>
      <w:jc w:val="center"/>
    </w:pPr>
    <w:rPr>
      <w:b/>
      <w:bCs/>
    </w:rPr>
  </w:style>
  <w:style w:type="paragraph" w:styleId="Title">
    <w:name w:val="Title"/>
    <w:basedOn w:val="Normal"/>
    <w:next w:val="Normal"/>
    <w:uiPriority w:val="99"/>
    <w:semiHidden/>
    <w:unhideWhenUsed/>
    <w:pPr>
      <w:spacing w:line="360" w:lineRule="auto"/>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pPr>
      <w:spacing w:line="360" w:lineRule="auto"/>
    </w:pPr>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semiHidden/>
    <w:rPr>
      <w:rFonts w:ascii="Arial" w:hAnsi="Arial" w:cs="Arial"/>
      <w:szCs w:val="24"/>
      <w:lang w:val="en-GB" w:eastAsia="en-US"/>
    </w:rPr>
  </w:style>
  <w:style w:type="paragraph" w:customStyle="1" w:styleId="zz1794basebodytext">
    <w:name w:val="zz1794base body text"/>
    <w:uiPriority w:val="99"/>
    <w:semiHidden/>
    <w:qFormat/>
    <w:pPr>
      <w:spacing w:after="240" w:line="360" w:lineRule="auto"/>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pPr>
      <w:jc w:val="left"/>
    </w:pPr>
  </w:style>
  <w:style w:type="paragraph" w:customStyle="1" w:styleId="BodyTextIndent1">
    <w:name w:val="#BodyText=Indent 1"/>
    <w:basedOn w:val="zz1794basebodytext"/>
    <w:qFormat/>
    <w:pPr>
      <w:spacing w:line="240" w:lineRule="auto"/>
      <w:jc w:val="left"/>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pPr>
      <w:spacing w:line="360" w:lineRule="auto"/>
    </w:pPr>
    <w:rPr>
      <w:rFonts w:cs="Times New Roman"/>
      <w:szCs w:val="20"/>
      <w:lang w:eastAsia="en-CA"/>
    </w:rPr>
  </w:style>
  <w:style w:type="paragraph" w:customStyle="1" w:styleId="BodyTextUserDefined2">
    <w:name w:val="#BodyText=User Defined 2"/>
    <w:basedOn w:val="Normal"/>
    <w:uiPriority w:val="3"/>
    <w:qFormat/>
    <w:pPr>
      <w:spacing w:line="360" w:lineRule="auto"/>
    </w:pPr>
    <w:rPr>
      <w:rFonts w:cs="Times New Roman"/>
      <w:szCs w:val="20"/>
      <w:lang w:eastAsia="en-CA"/>
    </w:rPr>
  </w:style>
  <w:style w:type="paragraph" w:customStyle="1" w:styleId="BodyTextUserDefined3">
    <w:name w:val="#BodyText=User Defined 3"/>
    <w:basedOn w:val="Normal"/>
    <w:uiPriority w:val="3"/>
    <w:qFormat/>
    <w:pPr>
      <w:spacing w:line="360" w:lineRule="auto"/>
    </w:pPr>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line="360" w:lineRule="auto"/>
      <w:jc w:val="left"/>
    </w:pPr>
    <w:rPr>
      <w:rFonts w:cs="Times New Roman"/>
      <w:szCs w:val="20"/>
      <w:lang w:eastAsia="en-CA"/>
    </w:rPr>
  </w:style>
  <w:style w:type="paragraph" w:customStyle="1" w:styleId="AddressUserDefined2">
    <w:name w:val="$Address=User Defined 2"/>
    <w:basedOn w:val="Normal"/>
    <w:uiPriority w:val="15"/>
    <w:qFormat/>
    <w:pPr>
      <w:spacing w:after="0" w:line="360" w:lineRule="auto"/>
      <w:jc w:val="left"/>
    </w:pPr>
    <w:rPr>
      <w:rFonts w:cs="Times New Roman"/>
      <w:szCs w:val="20"/>
      <w:lang w:eastAsia="en-CA"/>
    </w:rPr>
  </w:style>
  <w:style w:type="paragraph" w:customStyle="1" w:styleId="AddressUserDefined3">
    <w:name w:val="$Address=User Defined 3"/>
    <w:basedOn w:val="Normal"/>
    <w:uiPriority w:val="15"/>
    <w:qFormat/>
    <w:pPr>
      <w:spacing w:after="0" w:line="360" w:lineRule="auto"/>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spacing w:line="360" w:lineRule="auto"/>
      <w:jc w:val="left"/>
    </w:pPr>
    <w:rPr>
      <w:rFonts w:cs="Times New Roman"/>
      <w:szCs w:val="20"/>
      <w:lang w:eastAsia="en-CA"/>
    </w:rPr>
  </w:style>
  <w:style w:type="paragraph" w:customStyle="1" w:styleId="MiscUserDefined2">
    <w:name w:val="$Misc=User Defined 2"/>
    <w:basedOn w:val="Normal"/>
    <w:uiPriority w:val="16"/>
    <w:qFormat/>
    <w:pPr>
      <w:spacing w:line="360" w:lineRule="auto"/>
      <w:jc w:val="left"/>
    </w:pPr>
    <w:rPr>
      <w:rFonts w:cs="Times New Roman"/>
      <w:szCs w:val="20"/>
      <w:lang w:eastAsia="en-CA"/>
    </w:rPr>
  </w:style>
  <w:style w:type="paragraph" w:customStyle="1" w:styleId="MiscUserDefined3">
    <w:name w:val="$Misc=User Defined 3"/>
    <w:basedOn w:val="Normal"/>
    <w:uiPriority w:val="16"/>
    <w:qFormat/>
    <w:pPr>
      <w:spacing w:line="360" w:lineRule="auto"/>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spacing w:line="360" w:lineRule="auto"/>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spacing w:line="360" w:lineRule="auto"/>
    </w:pPr>
    <w:rPr>
      <w:rFonts w:cs="Times New Roman"/>
      <w:szCs w:val="20"/>
      <w:lang w:eastAsia="en-CA"/>
    </w:rPr>
  </w:style>
  <w:style w:type="paragraph" w:customStyle="1" w:styleId="PartiesUserDefined2">
    <w:name w:val="*Parties=User Defined 2"/>
    <w:basedOn w:val="Normal"/>
    <w:uiPriority w:val="10"/>
    <w:qFormat/>
    <w:pPr>
      <w:spacing w:line="360" w:lineRule="auto"/>
    </w:pPr>
    <w:rPr>
      <w:rFonts w:cs="Times New Roman"/>
      <w:szCs w:val="20"/>
      <w:lang w:eastAsia="en-CA"/>
    </w:rPr>
  </w:style>
  <w:style w:type="paragraph" w:customStyle="1" w:styleId="PartiesUserDefined3">
    <w:name w:val="*Parties=User Defined 3"/>
    <w:basedOn w:val="Normal"/>
    <w:uiPriority w:val="10"/>
    <w:qFormat/>
    <w:pPr>
      <w:spacing w:line="360" w:lineRule="auto"/>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pPr>
      <w:spacing w:line="360" w:lineRule="auto"/>
    </w:pPr>
    <w:rPr>
      <w:rFonts w:cs="Times New Roman"/>
      <w:szCs w:val="20"/>
      <w:lang w:eastAsia="en-CA"/>
    </w:rPr>
  </w:style>
  <w:style w:type="paragraph" w:customStyle="1" w:styleId="QuotesUserDefined2">
    <w:name w:val="@Quotes=User Defined 2"/>
    <w:basedOn w:val="Normal"/>
    <w:uiPriority w:val="14"/>
    <w:qFormat/>
    <w:pPr>
      <w:spacing w:line="360" w:lineRule="auto"/>
    </w:pPr>
    <w:rPr>
      <w:rFonts w:cs="Times New Roman"/>
      <w:szCs w:val="20"/>
      <w:lang w:eastAsia="en-CA"/>
    </w:rPr>
  </w:style>
  <w:style w:type="paragraph" w:customStyle="1" w:styleId="QuotesUserDefined3">
    <w:name w:val="@Quotes=User Defined 3"/>
    <w:basedOn w:val="Normal"/>
    <w:uiPriority w:val="14"/>
    <w:qFormat/>
    <w:pPr>
      <w:spacing w:line="360" w:lineRule="auto"/>
    </w:pPr>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line="360" w:lineRule="auto"/>
      <w:jc w:val="left"/>
    </w:pPr>
    <w:rPr>
      <w:rFonts w:cs="Times New Roman"/>
      <w:szCs w:val="20"/>
      <w:lang w:eastAsia="en-CA"/>
    </w:rPr>
  </w:style>
  <w:style w:type="paragraph" w:customStyle="1" w:styleId="TableUserDefined2">
    <w:name w:val="^Table=User Defined 2"/>
    <w:basedOn w:val="Normal"/>
    <w:uiPriority w:val="20"/>
    <w:qFormat/>
    <w:pPr>
      <w:spacing w:before="120" w:after="120" w:line="360" w:lineRule="auto"/>
      <w:jc w:val="left"/>
    </w:pPr>
    <w:rPr>
      <w:rFonts w:cs="Times New Roman"/>
      <w:szCs w:val="20"/>
      <w:lang w:eastAsia="en-CA"/>
    </w:rPr>
  </w:style>
  <w:style w:type="paragraph" w:customStyle="1" w:styleId="TableUserDefined3">
    <w:name w:val="^Table=User Defined 3"/>
    <w:basedOn w:val="Normal"/>
    <w:uiPriority w:val="20"/>
    <w:qFormat/>
    <w:pPr>
      <w:spacing w:before="120" w:after="120" w:line="360" w:lineRule="auto"/>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line="36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en-US"/>
    </w:rPr>
  </w:style>
  <w:style w:type="paragraph" w:styleId="Bibliography">
    <w:name w:val="Bibliography"/>
    <w:basedOn w:val="Normal"/>
    <w:next w:val="Normal"/>
    <w:uiPriority w:val="99"/>
    <w:semiHidden/>
    <w:unhideWhenUsed/>
    <w:pPr>
      <w:spacing w:line="360" w:lineRule="auto"/>
    </w:pPr>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line="360" w:lineRule="auto"/>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360" w:lineRule="auto"/>
    </w:pPr>
  </w:style>
  <w:style w:type="character" w:customStyle="1" w:styleId="BodyText2Char">
    <w:name w:val="Body Text 2 Char"/>
    <w:basedOn w:val="DefaultParagraphFont"/>
    <w:link w:val="BodyText2"/>
    <w:uiPriority w:val="99"/>
    <w:semiHidden/>
    <w:rPr>
      <w:rFonts w:ascii="Arial" w:hAnsi="Arial" w:cs="Arial"/>
      <w:szCs w:val="24"/>
      <w:lang w:val="en-GB" w:eastAsia="en-US"/>
    </w:rPr>
  </w:style>
  <w:style w:type="paragraph" w:styleId="BodyText3">
    <w:name w:val="Body Text 3"/>
    <w:basedOn w:val="Normal"/>
    <w:link w:val="BodyText3Char"/>
    <w:uiPriority w:val="99"/>
    <w:semiHidden/>
    <w:unhideWhenUsed/>
    <w:pPr>
      <w:spacing w:after="120" w:line="360" w:lineRule="auto"/>
    </w:pPr>
    <w:rPr>
      <w:sz w:val="16"/>
      <w:szCs w:val="16"/>
    </w:rPr>
  </w:style>
  <w:style w:type="character" w:customStyle="1" w:styleId="BodyText3Char">
    <w:name w:val="Body Text 3 Char"/>
    <w:basedOn w:val="DefaultParagraphFont"/>
    <w:link w:val="BodyText3"/>
    <w:uiPriority w:val="99"/>
    <w:semiHidden/>
    <w:rPr>
      <w:rFonts w:ascii="Arial" w:hAnsi="Arial" w:cs="Arial"/>
      <w:sz w:val="16"/>
      <w:szCs w:val="16"/>
      <w:lang w:val="en-GB"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semiHidden/>
    <w:rPr>
      <w:rFonts w:ascii="Arial" w:hAnsi="Arial" w:cs="Arial"/>
      <w:szCs w:val="24"/>
      <w:lang w:val="en-GB" w:eastAsia="en-US"/>
    </w:rPr>
  </w:style>
  <w:style w:type="paragraph" w:styleId="BodyTextIndent">
    <w:name w:val="Body Text Indent"/>
    <w:basedOn w:val="Normal"/>
    <w:link w:val="BodyTextIndentChar"/>
    <w:uiPriority w:val="99"/>
    <w:semiHidden/>
    <w:unhideWhenUsed/>
    <w:pPr>
      <w:spacing w:after="120" w:line="360" w:lineRule="auto"/>
      <w:ind w:left="283"/>
    </w:pPr>
  </w:style>
  <w:style w:type="character" w:customStyle="1" w:styleId="BodyTextIndentChar">
    <w:name w:val="Body Text Indent Char"/>
    <w:basedOn w:val="DefaultParagraphFont"/>
    <w:link w:val="BodyTextIndent"/>
    <w:uiPriority w:val="99"/>
    <w:semiHidden/>
    <w:rPr>
      <w:rFonts w:ascii="Arial" w:hAnsi="Arial" w:cs="Arial"/>
      <w:szCs w:val="24"/>
      <w:lang w:val="en-GB"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cs="Arial"/>
      <w:szCs w:val="24"/>
      <w:lang w:val="en-GB" w:eastAsia="en-US"/>
    </w:rPr>
  </w:style>
  <w:style w:type="paragraph" w:styleId="BodyTextIndent20">
    <w:name w:val="Body Text Indent 2"/>
    <w:basedOn w:val="Normal"/>
    <w:link w:val="BodyTextIndent2Char"/>
    <w:uiPriority w:val="99"/>
    <w:semiHidden/>
    <w:unhideWhenUsed/>
    <w:pPr>
      <w:spacing w:after="120" w:line="360" w:lineRule="auto"/>
      <w:ind w:left="283"/>
    </w:pPr>
  </w:style>
  <w:style w:type="character" w:customStyle="1" w:styleId="BodyTextIndent2Char">
    <w:name w:val="Body Text Indent 2 Char"/>
    <w:basedOn w:val="DefaultParagraphFont"/>
    <w:link w:val="BodyTextIndent20"/>
    <w:uiPriority w:val="99"/>
    <w:semiHidden/>
    <w:rPr>
      <w:rFonts w:ascii="Arial" w:hAnsi="Arial" w:cs="Arial"/>
      <w:szCs w:val="24"/>
      <w:lang w:val="en-GB" w:eastAsia="en-US"/>
    </w:rPr>
  </w:style>
  <w:style w:type="paragraph" w:styleId="BodyTextIndent30">
    <w:name w:val="Body Text Indent 3"/>
    <w:basedOn w:val="Normal"/>
    <w:link w:val="BodyTextIndent3Char"/>
    <w:uiPriority w:val="99"/>
    <w:semiHidden/>
    <w:unhideWhenUsed/>
    <w:pPr>
      <w:spacing w:after="120" w:line="360" w:lineRule="auto"/>
      <w:ind w:left="283"/>
    </w:pPr>
    <w:rPr>
      <w:sz w:val="16"/>
      <w:szCs w:val="16"/>
    </w:rPr>
  </w:style>
  <w:style w:type="character" w:customStyle="1" w:styleId="BodyTextIndent3Char">
    <w:name w:val="Body Text Indent 3 Char"/>
    <w:basedOn w:val="DefaultParagraphFont"/>
    <w:link w:val="BodyTextIndent30"/>
    <w:uiPriority w:val="99"/>
    <w:semiHidden/>
    <w:rPr>
      <w:rFonts w:ascii="Arial" w:hAnsi="Arial" w:cs="Arial"/>
      <w:sz w:val="16"/>
      <w:szCs w:val="16"/>
      <w:lang w:val="en-GB"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360" w:lineRule="auto"/>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360" w:lineRule="auto"/>
    </w:pPr>
    <w:rPr>
      <w:szCs w:val="20"/>
    </w:rPr>
  </w:style>
  <w:style w:type="character" w:customStyle="1" w:styleId="CommentTextChar">
    <w:name w:val="Comment Text Char"/>
    <w:basedOn w:val="DefaultParagraphFont"/>
    <w:link w:val="CommentText"/>
    <w:uiPriority w:val="99"/>
    <w:semiHidden/>
    <w:rPr>
      <w:rFonts w:ascii="Arial" w:hAnsi="Arial" w:cs="Arial"/>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lang w:val="en-GB"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line="36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eastAsia="en-US"/>
    </w:rPr>
  </w:style>
  <w:style w:type="paragraph" w:styleId="E-mailSignature">
    <w:name w:val="E-mail Signature"/>
    <w:basedOn w:val="Normal"/>
    <w:link w:val="E-mailSignatureChar"/>
    <w:uiPriority w:val="99"/>
    <w:semiHidden/>
    <w:unhideWhenUsed/>
    <w:pPr>
      <w:spacing w:after="0" w:line="360" w:lineRule="auto"/>
    </w:pPr>
  </w:style>
  <w:style w:type="character" w:customStyle="1" w:styleId="E-mailSignatureChar">
    <w:name w:val="E-mail Signature Char"/>
    <w:basedOn w:val="DefaultParagraphFont"/>
    <w:link w:val="E-mailSignature"/>
    <w:uiPriority w:val="99"/>
    <w:semiHidden/>
    <w:rPr>
      <w:rFonts w:ascii="Arial" w:hAnsi="Arial" w:cs="Arial"/>
      <w:szCs w:val="24"/>
      <w:lang w:val="en-GB"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pPr>
      <w:spacing w:line="360" w:lineRule="auto"/>
    </w:pPr>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line="36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36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360" w:lineRule="auto"/>
    </w:pPr>
    <w:rPr>
      <w:i/>
      <w:iCs/>
    </w:rPr>
  </w:style>
  <w:style w:type="character" w:customStyle="1" w:styleId="HTMLAddressChar">
    <w:name w:val="HTML Address Char"/>
    <w:basedOn w:val="DefaultParagraphFont"/>
    <w:link w:val="HTMLAddress"/>
    <w:uiPriority w:val="99"/>
    <w:semiHidden/>
    <w:rPr>
      <w:rFonts w:ascii="Arial" w:hAnsi="Arial" w:cs="Arial"/>
      <w:i/>
      <w:iCs/>
      <w:szCs w:val="24"/>
      <w:lang w:val="en-GB"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36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lang w:val="en-GB"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line="360" w:lineRule="auto"/>
      <w:ind w:left="200" w:hanging="200"/>
    </w:pPr>
  </w:style>
  <w:style w:type="paragraph" w:styleId="Index2">
    <w:name w:val="index 2"/>
    <w:basedOn w:val="Normal"/>
    <w:next w:val="Normal"/>
    <w:autoRedefine/>
    <w:uiPriority w:val="99"/>
    <w:semiHidden/>
    <w:unhideWhenUsed/>
    <w:pPr>
      <w:spacing w:after="0" w:line="360" w:lineRule="auto"/>
      <w:ind w:left="400" w:hanging="200"/>
    </w:pPr>
  </w:style>
  <w:style w:type="paragraph" w:styleId="Index3">
    <w:name w:val="index 3"/>
    <w:basedOn w:val="Normal"/>
    <w:next w:val="Normal"/>
    <w:autoRedefine/>
    <w:uiPriority w:val="99"/>
    <w:semiHidden/>
    <w:unhideWhenUsed/>
    <w:pPr>
      <w:spacing w:after="0" w:line="360" w:lineRule="auto"/>
      <w:ind w:left="600" w:hanging="200"/>
    </w:pPr>
  </w:style>
  <w:style w:type="paragraph" w:styleId="Index4">
    <w:name w:val="index 4"/>
    <w:basedOn w:val="Normal"/>
    <w:next w:val="Normal"/>
    <w:autoRedefine/>
    <w:uiPriority w:val="99"/>
    <w:semiHidden/>
    <w:unhideWhenUsed/>
    <w:pPr>
      <w:spacing w:after="0" w:line="360" w:lineRule="auto"/>
      <w:ind w:left="800" w:hanging="200"/>
    </w:pPr>
  </w:style>
  <w:style w:type="paragraph" w:styleId="Index5">
    <w:name w:val="index 5"/>
    <w:basedOn w:val="Normal"/>
    <w:next w:val="Normal"/>
    <w:autoRedefine/>
    <w:uiPriority w:val="99"/>
    <w:semiHidden/>
    <w:unhideWhenUsed/>
    <w:pPr>
      <w:spacing w:after="0" w:line="360" w:lineRule="auto"/>
      <w:ind w:left="1000" w:hanging="200"/>
    </w:pPr>
  </w:style>
  <w:style w:type="paragraph" w:styleId="Index6">
    <w:name w:val="index 6"/>
    <w:basedOn w:val="Normal"/>
    <w:next w:val="Normal"/>
    <w:autoRedefine/>
    <w:uiPriority w:val="99"/>
    <w:semiHidden/>
    <w:unhideWhenUsed/>
    <w:pPr>
      <w:spacing w:after="0" w:line="360" w:lineRule="auto"/>
      <w:ind w:left="1200" w:hanging="200"/>
    </w:pPr>
  </w:style>
  <w:style w:type="paragraph" w:styleId="Index7">
    <w:name w:val="index 7"/>
    <w:basedOn w:val="Normal"/>
    <w:next w:val="Normal"/>
    <w:autoRedefine/>
    <w:uiPriority w:val="99"/>
    <w:semiHidden/>
    <w:unhideWhenUsed/>
    <w:pPr>
      <w:spacing w:after="0" w:line="360" w:lineRule="auto"/>
      <w:ind w:left="1400" w:hanging="200"/>
    </w:pPr>
  </w:style>
  <w:style w:type="paragraph" w:styleId="Index8">
    <w:name w:val="index 8"/>
    <w:basedOn w:val="Normal"/>
    <w:next w:val="Normal"/>
    <w:autoRedefine/>
    <w:uiPriority w:val="99"/>
    <w:semiHidden/>
    <w:unhideWhenUsed/>
    <w:pPr>
      <w:spacing w:after="0" w:line="360" w:lineRule="auto"/>
      <w:ind w:left="1600" w:hanging="200"/>
    </w:pPr>
  </w:style>
  <w:style w:type="paragraph" w:styleId="Index9">
    <w:name w:val="index 9"/>
    <w:basedOn w:val="Normal"/>
    <w:next w:val="Normal"/>
    <w:autoRedefine/>
    <w:uiPriority w:val="99"/>
    <w:semiHidden/>
    <w:unhideWhenUsed/>
    <w:pPr>
      <w:spacing w:after="0" w:line="360" w:lineRule="auto"/>
      <w:ind w:left="1800" w:hanging="200"/>
    </w:pPr>
  </w:style>
  <w:style w:type="paragraph" w:styleId="IndexHeading">
    <w:name w:val="index heading"/>
    <w:basedOn w:val="Normal"/>
    <w:next w:val="Index1"/>
    <w:uiPriority w:val="99"/>
    <w:semiHidden/>
    <w:unhideWhenUsed/>
    <w:pPr>
      <w:spacing w:line="360" w:lineRule="auto"/>
    </w:pPr>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line="360" w:lineRule="auto"/>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Pr>
      <w:rFonts w:ascii="Arial" w:hAnsi="Arial" w:cs="Arial"/>
      <w:b/>
      <w:bCs/>
      <w:i/>
      <w:iCs/>
      <w:color w:val="4F81BD" w:themeColor="accent1"/>
      <w:szCs w:val="24"/>
      <w:lang w:val="en-GB"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spacing w:line="360" w:lineRule="auto"/>
      <w:ind w:left="283" w:hanging="283"/>
      <w:contextualSpacing/>
    </w:pPr>
  </w:style>
  <w:style w:type="paragraph" w:styleId="List2">
    <w:name w:val="List 2"/>
    <w:basedOn w:val="Normal"/>
    <w:uiPriority w:val="99"/>
    <w:semiHidden/>
    <w:unhideWhenUsed/>
    <w:pPr>
      <w:spacing w:line="360" w:lineRule="auto"/>
      <w:ind w:left="566" w:hanging="283"/>
      <w:contextualSpacing/>
    </w:pPr>
  </w:style>
  <w:style w:type="paragraph" w:styleId="List3">
    <w:name w:val="List 3"/>
    <w:basedOn w:val="Normal"/>
    <w:uiPriority w:val="99"/>
    <w:semiHidden/>
    <w:unhideWhenUsed/>
    <w:pPr>
      <w:spacing w:line="360" w:lineRule="auto"/>
      <w:ind w:left="849" w:hanging="283"/>
      <w:contextualSpacing/>
    </w:pPr>
  </w:style>
  <w:style w:type="paragraph" w:styleId="List4">
    <w:name w:val="List 4"/>
    <w:basedOn w:val="Normal"/>
    <w:uiPriority w:val="99"/>
    <w:semiHidden/>
    <w:unhideWhenUsed/>
    <w:pPr>
      <w:spacing w:line="360" w:lineRule="auto"/>
      <w:ind w:left="1132" w:hanging="283"/>
      <w:contextualSpacing/>
    </w:pPr>
  </w:style>
  <w:style w:type="paragraph" w:styleId="List5">
    <w:name w:val="List 5"/>
    <w:basedOn w:val="Normal"/>
    <w:uiPriority w:val="99"/>
    <w:semiHidden/>
    <w:unhideWhenUsed/>
    <w:pPr>
      <w:spacing w:line="360" w:lineRule="auto"/>
      <w:ind w:left="1415" w:hanging="283"/>
      <w:contextualSpacing/>
    </w:pPr>
  </w:style>
  <w:style w:type="paragraph" w:styleId="ListBullet">
    <w:name w:val="List Bullet"/>
    <w:basedOn w:val="Normal"/>
    <w:uiPriority w:val="99"/>
    <w:semiHidden/>
    <w:unhideWhenUsed/>
    <w:pPr>
      <w:tabs>
        <w:tab w:val="num" w:pos="360"/>
      </w:tabs>
      <w:spacing w:line="360" w:lineRule="auto"/>
      <w:contextualSpacing/>
    </w:pPr>
  </w:style>
  <w:style w:type="paragraph" w:styleId="ListBullet2">
    <w:name w:val="List Bullet 2"/>
    <w:basedOn w:val="Normal"/>
    <w:uiPriority w:val="99"/>
    <w:semiHidden/>
    <w:unhideWhenUsed/>
    <w:pPr>
      <w:tabs>
        <w:tab w:val="num" w:pos="360"/>
      </w:tabs>
      <w:spacing w:line="360" w:lineRule="auto"/>
      <w:contextualSpacing/>
    </w:pPr>
  </w:style>
  <w:style w:type="paragraph" w:styleId="ListBullet3">
    <w:name w:val="List Bullet 3"/>
    <w:basedOn w:val="Normal"/>
    <w:uiPriority w:val="99"/>
    <w:semiHidden/>
    <w:unhideWhenUsed/>
    <w:pPr>
      <w:tabs>
        <w:tab w:val="num" w:pos="360"/>
      </w:tabs>
      <w:spacing w:line="360" w:lineRule="auto"/>
      <w:contextualSpacing/>
    </w:pPr>
  </w:style>
  <w:style w:type="paragraph" w:styleId="ListBullet4">
    <w:name w:val="List Bullet 4"/>
    <w:basedOn w:val="Normal"/>
    <w:uiPriority w:val="99"/>
    <w:semiHidden/>
    <w:unhideWhenUsed/>
    <w:pPr>
      <w:tabs>
        <w:tab w:val="num" w:pos="360"/>
      </w:tabs>
      <w:spacing w:line="360" w:lineRule="auto"/>
      <w:contextualSpacing/>
    </w:pPr>
  </w:style>
  <w:style w:type="paragraph" w:styleId="ListBullet5">
    <w:name w:val="List Bullet 5"/>
    <w:basedOn w:val="Normal"/>
    <w:uiPriority w:val="99"/>
    <w:semiHidden/>
    <w:unhideWhenUsed/>
    <w:pPr>
      <w:tabs>
        <w:tab w:val="num" w:pos="360"/>
      </w:tabs>
      <w:spacing w:line="360" w:lineRule="auto"/>
      <w:contextualSpacing/>
    </w:pPr>
  </w:style>
  <w:style w:type="paragraph" w:styleId="ListContinue">
    <w:name w:val="List Continue"/>
    <w:basedOn w:val="Normal"/>
    <w:uiPriority w:val="99"/>
    <w:semiHidden/>
    <w:unhideWhenUsed/>
    <w:pPr>
      <w:spacing w:after="120" w:line="360" w:lineRule="auto"/>
      <w:ind w:left="283"/>
      <w:contextualSpacing/>
    </w:pPr>
  </w:style>
  <w:style w:type="paragraph" w:styleId="ListContinue2">
    <w:name w:val="List Continue 2"/>
    <w:basedOn w:val="Normal"/>
    <w:uiPriority w:val="99"/>
    <w:semiHidden/>
    <w:unhideWhenUsed/>
    <w:pPr>
      <w:spacing w:after="120" w:line="360" w:lineRule="auto"/>
      <w:ind w:left="566"/>
      <w:contextualSpacing/>
    </w:pPr>
  </w:style>
  <w:style w:type="paragraph" w:styleId="ListContinue3">
    <w:name w:val="List Continue 3"/>
    <w:basedOn w:val="Normal"/>
    <w:uiPriority w:val="99"/>
    <w:semiHidden/>
    <w:unhideWhenUsed/>
    <w:pPr>
      <w:spacing w:after="120" w:line="360" w:lineRule="auto"/>
      <w:ind w:left="849"/>
      <w:contextualSpacing/>
    </w:pPr>
  </w:style>
  <w:style w:type="paragraph" w:styleId="ListContinue4">
    <w:name w:val="List Continue 4"/>
    <w:basedOn w:val="Normal"/>
    <w:uiPriority w:val="99"/>
    <w:semiHidden/>
    <w:unhideWhenUsed/>
    <w:pPr>
      <w:spacing w:after="120" w:line="360" w:lineRule="auto"/>
      <w:ind w:left="1132"/>
      <w:contextualSpacing/>
    </w:pPr>
  </w:style>
  <w:style w:type="paragraph" w:styleId="ListContinue5">
    <w:name w:val="List Continue 5"/>
    <w:basedOn w:val="Normal"/>
    <w:uiPriority w:val="99"/>
    <w:semiHidden/>
    <w:unhideWhenUsed/>
    <w:pPr>
      <w:spacing w:after="120" w:line="360" w:lineRule="auto"/>
      <w:ind w:left="1415"/>
      <w:contextualSpacing/>
    </w:pPr>
  </w:style>
  <w:style w:type="paragraph" w:styleId="ListNumber">
    <w:name w:val="List Number"/>
    <w:basedOn w:val="Normal"/>
    <w:uiPriority w:val="99"/>
    <w:semiHidden/>
    <w:unhideWhenUsed/>
    <w:pPr>
      <w:tabs>
        <w:tab w:val="num" w:pos="360"/>
      </w:tabs>
      <w:spacing w:line="360" w:lineRule="auto"/>
      <w:contextualSpacing/>
    </w:pPr>
  </w:style>
  <w:style w:type="paragraph" w:styleId="ListNumber2">
    <w:name w:val="List Number 2"/>
    <w:basedOn w:val="Normal"/>
    <w:uiPriority w:val="99"/>
    <w:semiHidden/>
    <w:unhideWhenUsed/>
    <w:pPr>
      <w:tabs>
        <w:tab w:val="num" w:pos="360"/>
      </w:tabs>
      <w:spacing w:line="360" w:lineRule="auto"/>
      <w:contextualSpacing/>
    </w:pPr>
  </w:style>
  <w:style w:type="paragraph" w:styleId="ListNumber3">
    <w:name w:val="List Number 3"/>
    <w:basedOn w:val="Normal"/>
    <w:uiPriority w:val="99"/>
    <w:semiHidden/>
    <w:unhideWhenUsed/>
    <w:pPr>
      <w:tabs>
        <w:tab w:val="num" w:pos="360"/>
      </w:tabs>
      <w:spacing w:line="360" w:lineRule="auto"/>
      <w:contextualSpacing/>
    </w:pPr>
  </w:style>
  <w:style w:type="paragraph" w:styleId="ListNumber4">
    <w:name w:val="List Number 4"/>
    <w:basedOn w:val="Normal"/>
    <w:uiPriority w:val="99"/>
    <w:semiHidden/>
    <w:unhideWhenUsed/>
    <w:pPr>
      <w:tabs>
        <w:tab w:val="num" w:pos="360"/>
      </w:tabs>
      <w:spacing w:line="360" w:lineRule="auto"/>
      <w:contextualSpacing/>
    </w:pPr>
  </w:style>
  <w:style w:type="paragraph" w:styleId="ListNumber5">
    <w:name w:val="List Number 5"/>
    <w:basedOn w:val="Normal"/>
    <w:uiPriority w:val="99"/>
    <w:semiHidden/>
    <w:unhideWhenUsed/>
    <w:pPr>
      <w:tabs>
        <w:tab w:val="num" w:pos="360"/>
      </w:tabs>
      <w:spacing w:line="360" w:lineRule="auto"/>
      <w:contextualSpacing/>
    </w:pPr>
  </w:style>
  <w:style w:type="paragraph" w:styleId="ListParagraph">
    <w:name w:val="List Paragraph"/>
    <w:basedOn w:val="Normal"/>
    <w:uiPriority w:val="99"/>
    <w:semiHidden/>
    <w:unhideWhenUsed/>
    <w:pPr>
      <w:spacing w:line="360" w:lineRule="auto"/>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cs="Consolas"/>
      <w:lang w:eastAsia="en-US"/>
    </w:rPr>
  </w:style>
  <w:style w:type="character" w:customStyle="1" w:styleId="MacroTextChar">
    <w:name w:val="Macro Text Char"/>
    <w:basedOn w:val="DefaultParagraphFont"/>
    <w:link w:val="MacroText"/>
    <w:uiPriority w:val="99"/>
    <w:semiHidden/>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99"/>
    <w:semiHidden/>
    <w:unhideWhenUsed/>
    <w:pPr>
      <w:spacing w:line="360" w:lineRule="auto"/>
      <w:jc w:val="both"/>
    </w:pPr>
    <w:rPr>
      <w:rFonts w:ascii="Arial" w:hAnsi="Arial" w:cs="Arial"/>
      <w:szCs w:val="24"/>
      <w:lang w:eastAsia="en-US"/>
    </w:rPr>
  </w:style>
  <w:style w:type="paragraph" w:styleId="NormalWeb">
    <w:name w:val="Normal (Web)"/>
    <w:basedOn w:val="Normal"/>
    <w:uiPriority w:val="99"/>
    <w:semiHidden/>
    <w:unhideWhenUsed/>
    <w:pPr>
      <w:spacing w:line="360" w:lineRule="auto"/>
    </w:pPr>
    <w:rPr>
      <w:rFonts w:ascii="Times New Roman" w:hAnsi="Times New Roman" w:cs="Times New Roman"/>
      <w:sz w:val="24"/>
    </w:rPr>
  </w:style>
  <w:style w:type="paragraph" w:styleId="NormalIndent">
    <w:name w:val="Normal Indent"/>
    <w:basedOn w:val="Normal"/>
    <w:uiPriority w:val="99"/>
    <w:semiHidden/>
    <w:unhideWhenUsed/>
    <w:pPr>
      <w:spacing w:line="360" w:lineRule="auto"/>
      <w:ind w:left="720"/>
    </w:pPr>
  </w:style>
  <w:style w:type="paragraph" w:styleId="NoteHeading">
    <w:name w:val="Note Heading"/>
    <w:basedOn w:val="Normal"/>
    <w:next w:val="Normal"/>
    <w:link w:val="NoteHeadingChar"/>
    <w:uiPriority w:val="99"/>
    <w:semiHidden/>
    <w:unhideWhenUsed/>
    <w:pPr>
      <w:spacing w:after="0" w:line="360" w:lineRule="auto"/>
    </w:pPr>
  </w:style>
  <w:style w:type="character" w:customStyle="1" w:styleId="NoteHeadingChar">
    <w:name w:val="Note Heading Char"/>
    <w:basedOn w:val="DefaultParagraphFont"/>
    <w:link w:val="NoteHeading"/>
    <w:uiPriority w:val="99"/>
    <w:semiHidden/>
    <w:rPr>
      <w:rFonts w:ascii="Arial" w:hAnsi="Arial" w:cs="Arial"/>
      <w:szCs w:val="24"/>
      <w:lang w:val="en-GB"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36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lang w:val="en-GB" w:eastAsia="en-US"/>
    </w:rPr>
  </w:style>
  <w:style w:type="paragraph" w:styleId="Quote">
    <w:name w:val="Quote"/>
    <w:basedOn w:val="Normal"/>
    <w:next w:val="Normal"/>
    <w:link w:val="QuoteChar"/>
    <w:uiPriority w:val="99"/>
    <w:semiHidden/>
    <w:unhideWhenUsed/>
    <w:pPr>
      <w:spacing w:line="360" w:lineRule="auto"/>
    </w:pPr>
    <w:rPr>
      <w:i/>
      <w:iCs/>
      <w:color w:val="000000" w:themeColor="text1"/>
    </w:rPr>
  </w:style>
  <w:style w:type="character" w:customStyle="1" w:styleId="QuoteChar">
    <w:name w:val="Quote Char"/>
    <w:basedOn w:val="DefaultParagraphFont"/>
    <w:link w:val="Quote"/>
    <w:uiPriority w:val="99"/>
    <w:semiHidden/>
    <w:rPr>
      <w:rFonts w:ascii="Arial" w:hAnsi="Arial" w:cs="Arial"/>
      <w:i/>
      <w:iCs/>
      <w:color w:val="000000" w:themeColor="text1"/>
      <w:szCs w:val="24"/>
      <w:lang w:val="en-GB"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line="360" w:lineRule="auto"/>
      <w:ind w:left="4252"/>
    </w:pPr>
  </w:style>
  <w:style w:type="character" w:customStyle="1" w:styleId="SignatureChar">
    <w:name w:val="Signature Char"/>
    <w:basedOn w:val="DefaultParagraphFont"/>
    <w:link w:val="Signature"/>
    <w:uiPriority w:val="99"/>
    <w:semiHidden/>
    <w:rPr>
      <w:rFonts w:ascii="Arial" w:hAnsi="Arial" w:cs="Arial"/>
      <w:szCs w:val="24"/>
      <w:lang w:val="en-GB"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line="360" w:lineRule="auto"/>
      <w:ind w:left="200" w:hanging="200"/>
    </w:pPr>
  </w:style>
  <w:style w:type="paragraph" w:styleId="TableofFigures">
    <w:name w:val="table of figures"/>
    <w:basedOn w:val="Normal"/>
    <w:next w:val="Normal"/>
    <w:uiPriority w:val="99"/>
    <w:semiHidden/>
    <w:unhideWhenUsed/>
    <w:pPr>
      <w:spacing w:after="0" w:line="360" w:lineRule="auto"/>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line="360" w:lineRule="auto"/>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tabs>
        <w:tab w:val="right" w:leader="dot" w:pos="9071"/>
      </w:tabs>
      <w:spacing w:before="120" w:after="0"/>
      <w:ind w:right="142"/>
      <w:jc w:val="left"/>
    </w:pPr>
  </w:style>
  <w:style w:type="paragraph" w:styleId="TOC4">
    <w:name w:val="toc 4"/>
    <w:basedOn w:val="Normal"/>
    <w:next w:val="Normal"/>
    <w:autoRedefine/>
    <w:uiPriority w:val="99"/>
    <w:semiHidden/>
    <w:unhideWhenUsed/>
    <w:pPr>
      <w:tabs>
        <w:tab w:val="right" w:leader="dot" w:pos="9071"/>
      </w:tabs>
      <w:spacing w:before="120" w:after="0"/>
      <w:ind w:right="142"/>
      <w:jc w:val="left"/>
    </w:pPr>
  </w:style>
  <w:style w:type="paragraph" w:styleId="TOC5">
    <w:name w:val="toc 5"/>
    <w:basedOn w:val="Normal"/>
    <w:next w:val="Normal"/>
    <w:autoRedefine/>
    <w:uiPriority w:val="99"/>
    <w:semiHidden/>
    <w:unhideWhenUsed/>
    <w:pPr>
      <w:tabs>
        <w:tab w:val="right" w:leader="dot" w:pos="9071"/>
      </w:tabs>
      <w:spacing w:before="120" w:after="0"/>
      <w:ind w:right="142"/>
      <w:jc w:val="left"/>
    </w:pPr>
  </w:style>
  <w:style w:type="paragraph" w:styleId="TOC6">
    <w:name w:val="toc 6"/>
    <w:basedOn w:val="Normal"/>
    <w:next w:val="Normal"/>
    <w:autoRedefine/>
    <w:uiPriority w:val="99"/>
    <w:semiHidden/>
    <w:unhideWhenUsed/>
    <w:pPr>
      <w:tabs>
        <w:tab w:val="right" w:leader="dot" w:pos="9071"/>
      </w:tabs>
      <w:spacing w:before="120" w:after="0"/>
      <w:ind w:right="142"/>
      <w:jc w:val="left"/>
    </w:pPr>
  </w:style>
  <w:style w:type="paragraph" w:styleId="TOC7">
    <w:name w:val="toc 7"/>
    <w:basedOn w:val="Normal"/>
    <w:next w:val="Normal"/>
    <w:autoRedefine/>
    <w:uiPriority w:val="99"/>
    <w:semiHidden/>
    <w:unhideWhenUsed/>
    <w:pPr>
      <w:tabs>
        <w:tab w:val="right" w:leader="dot" w:pos="9071"/>
      </w:tabs>
      <w:spacing w:before="120" w:after="0"/>
      <w:ind w:right="142"/>
      <w:jc w:val="left"/>
    </w:pPr>
  </w:style>
  <w:style w:type="paragraph" w:styleId="TOC8">
    <w:name w:val="toc 8"/>
    <w:basedOn w:val="Normal"/>
    <w:next w:val="Normal"/>
    <w:autoRedefine/>
    <w:uiPriority w:val="99"/>
    <w:semiHidden/>
    <w:unhideWhenUsed/>
    <w:pPr>
      <w:tabs>
        <w:tab w:val="right" w:leader="dot" w:pos="9071"/>
      </w:tabs>
      <w:spacing w:before="120" w:after="0"/>
      <w:ind w:right="142"/>
      <w:jc w:val="left"/>
    </w:pPr>
  </w:style>
  <w:style w:type="paragraph" w:styleId="TOC9">
    <w:name w:val="toc 9"/>
    <w:basedOn w:val="Normal"/>
    <w:next w:val="Normal"/>
    <w:autoRedefine/>
    <w:uiPriority w:val="99"/>
    <w:semiHidden/>
    <w:unhideWhenUsed/>
    <w:pPr>
      <w:tabs>
        <w:tab w:val="right" w:leader="dot" w:pos="9071"/>
      </w:tabs>
      <w:spacing w:before="120" w:after="0"/>
      <w:ind w:right="142"/>
      <w:jc w:val="left"/>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pPr>
      <w:spacing w:line="240" w:lineRule="auto"/>
    </w:pPr>
    <w:rPr>
      <w:b/>
      <w:i/>
      <w:color w:val="002060"/>
    </w:rPr>
  </w:style>
  <w:style w:type="paragraph" w:customStyle="1" w:styleId="Watermark">
    <w:name w:val="Watermark"/>
    <w:uiPriority w:val="29"/>
    <w:qFormat/>
    <w:pPr>
      <w:jc w:val="center"/>
    </w:pPr>
    <w:rPr>
      <w:rFonts w:ascii="Arial" w:hAnsi="Arial"/>
      <w:color w:val="C0C0C0"/>
      <w:sz w:val="80"/>
      <w:lang w:eastAsia="en-US"/>
    </w:rPr>
  </w:style>
  <w:style w:type="numbering" w:customStyle="1" w:styleId="Schedule1List">
    <w:name w:val="Schedule1. List"/>
    <w:basedOn w:val="NoList"/>
    <w:uiPriority w:val="99"/>
    <w:semiHidden/>
    <w:pPr>
      <w:numPr>
        <w:numId w:val="2"/>
      </w:numPr>
    </w:pPr>
  </w:style>
  <w:style w:type="paragraph" w:customStyle="1" w:styleId="CoverDate">
    <w:name w:val="Cover Date"/>
    <w:basedOn w:val="NormalSingle"/>
    <w:uiPriority w:val="29"/>
    <w:qFormat/>
    <w:pPr>
      <w:tabs>
        <w:tab w:val="right" w:pos="4536"/>
      </w:tabs>
    </w:pPr>
    <w:rPr>
      <w:b/>
      <w:sz w:val="24"/>
    </w:rPr>
  </w:style>
  <w:style w:type="paragraph" w:customStyle="1" w:styleId="CoverParties">
    <w:name w:val="Cover Parties"/>
    <w:basedOn w:val="NormalSingle"/>
    <w:next w:val="CoverPartiesand"/>
    <w:uiPriority w:val="29"/>
    <w:qFormat/>
    <w:pPr>
      <w:jc w:val="center"/>
    </w:pPr>
    <w:rPr>
      <w:b/>
      <w:caps/>
      <w:sz w:val="24"/>
    </w:rPr>
  </w:style>
  <w:style w:type="paragraph" w:customStyle="1" w:styleId="CoverPartiesand">
    <w:name w:val="Cover Parties and"/>
    <w:basedOn w:val="NormalSingle"/>
    <w:next w:val="CoverParties"/>
    <w:uiPriority w:val="29"/>
    <w:qFormat/>
    <w:pPr>
      <w:jc w:val="center"/>
    </w:pPr>
    <w:rPr>
      <w:b/>
      <w:sz w:val="24"/>
    </w:rPr>
  </w:style>
  <w:style w:type="paragraph" w:customStyle="1" w:styleId="CoverTitle">
    <w:name w:val="Cover Title"/>
    <w:basedOn w:val="NormalSingle"/>
    <w:uiPriority w:val="29"/>
    <w:qFormat/>
    <w:pPr>
      <w:jc w:val="center"/>
    </w:pPr>
    <w:rPr>
      <w:b/>
      <w:bCs/>
      <w:caps/>
      <w:sz w:val="24"/>
    </w:rPr>
  </w:style>
  <w:style w:type="paragraph" w:customStyle="1" w:styleId="DocsID">
    <w:name w:val="DocsID"/>
    <w:basedOn w:val="Normal"/>
    <w:uiPriority w:val="29"/>
    <w:qFormat/>
    <w:pPr>
      <w:spacing w:before="20" w:after="0"/>
      <w:jc w:val="left"/>
    </w:pPr>
    <w:rPr>
      <w:rFonts w:cs="Times New Roman"/>
      <w:sz w:val="16"/>
      <w:szCs w:val="20"/>
    </w:rPr>
  </w:style>
  <w:style w:type="paragraph" w:customStyle="1" w:styleId="Legal1L1">
    <w:name w:val="Legal1_L1"/>
    <w:basedOn w:val="BodyText0"/>
    <w:next w:val="Legal1L2"/>
    <w:uiPriority w:val="49"/>
    <w:qFormat/>
    <w:pPr>
      <w:keepNext/>
      <w:pageBreakBefore/>
      <w:numPr>
        <w:numId w:val="5"/>
      </w:numPr>
      <w:spacing w:line="240" w:lineRule="auto"/>
      <w:outlineLvl w:val="0"/>
    </w:pPr>
    <w:rPr>
      <w:rFonts w:cs="Arial"/>
      <w:sz w:val="22"/>
    </w:rPr>
  </w:style>
  <w:style w:type="paragraph" w:customStyle="1" w:styleId="Legal1L2">
    <w:name w:val="Legal1_L2"/>
    <w:basedOn w:val="BodyText0"/>
    <w:next w:val="Legal1L3"/>
    <w:uiPriority w:val="49"/>
    <w:qFormat/>
    <w:pPr>
      <w:numPr>
        <w:ilvl w:val="1"/>
        <w:numId w:val="5"/>
      </w:numPr>
      <w:outlineLvl w:val="1"/>
    </w:pPr>
    <w:rPr>
      <w:rFonts w:cs="Arial"/>
      <w:b/>
      <w:vanish/>
      <w:color w:val="000000"/>
      <w:sz w:val="24"/>
    </w:rPr>
  </w:style>
  <w:style w:type="paragraph" w:customStyle="1" w:styleId="Legal1L3">
    <w:name w:val="Legal1_L3"/>
    <w:basedOn w:val="BodyText0"/>
    <w:uiPriority w:val="49"/>
    <w:qFormat/>
    <w:pPr>
      <w:numPr>
        <w:ilvl w:val="2"/>
        <w:numId w:val="5"/>
      </w:numPr>
      <w:spacing w:after="120" w:line="240" w:lineRule="auto"/>
      <w:outlineLvl w:val="2"/>
    </w:pPr>
    <w:rPr>
      <w:rFonts w:cs="Arial"/>
      <w:b/>
    </w:rPr>
  </w:style>
  <w:style w:type="paragraph" w:customStyle="1" w:styleId="Legal1L4">
    <w:name w:val="Legal1_L4"/>
    <w:basedOn w:val="BodyText0"/>
    <w:uiPriority w:val="49"/>
    <w:qFormat/>
    <w:pPr>
      <w:numPr>
        <w:ilvl w:val="3"/>
        <w:numId w:val="5"/>
      </w:numPr>
      <w:outlineLvl w:val="3"/>
    </w:pPr>
    <w:rPr>
      <w:rFonts w:cs="Arial"/>
    </w:rPr>
  </w:style>
  <w:style w:type="paragraph" w:customStyle="1" w:styleId="Legal1L5">
    <w:name w:val="Legal1_L5"/>
    <w:basedOn w:val="BodyText0"/>
    <w:uiPriority w:val="49"/>
    <w:qFormat/>
    <w:pPr>
      <w:numPr>
        <w:ilvl w:val="4"/>
        <w:numId w:val="5"/>
      </w:numPr>
      <w:outlineLvl w:val="4"/>
    </w:pPr>
    <w:rPr>
      <w:rFonts w:cs="Arial"/>
    </w:rPr>
  </w:style>
  <w:style w:type="paragraph" w:customStyle="1" w:styleId="Legal1L6">
    <w:name w:val="Legal1_L6"/>
    <w:basedOn w:val="BodyText0"/>
    <w:uiPriority w:val="49"/>
    <w:qFormat/>
    <w:pPr>
      <w:numPr>
        <w:ilvl w:val="5"/>
        <w:numId w:val="5"/>
      </w:numPr>
      <w:outlineLvl w:val="5"/>
    </w:pPr>
    <w:rPr>
      <w:rFonts w:cs="Arial"/>
    </w:rPr>
  </w:style>
  <w:style w:type="paragraph" w:customStyle="1" w:styleId="Legal1L7">
    <w:name w:val="Legal1_L7"/>
    <w:basedOn w:val="BodyText0"/>
    <w:uiPriority w:val="49"/>
    <w:qFormat/>
    <w:pPr>
      <w:numPr>
        <w:ilvl w:val="6"/>
        <w:numId w:val="5"/>
      </w:numPr>
      <w:outlineLvl w:val="6"/>
    </w:pPr>
    <w:rPr>
      <w:rFonts w:cs="Arial"/>
    </w:rPr>
  </w:style>
  <w:style w:type="paragraph" w:customStyle="1" w:styleId="Legal1L8">
    <w:name w:val="Legal1_L8"/>
    <w:basedOn w:val="BodyText0"/>
    <w:uiPriority w:val="49"/>
    <w:qFormat/>
    <w:pPr>
      <w:numPr>
        <w:ilvl w:val="7"/>
        <w:numId w:val="5"/>
      </w:numPr>
      <w:outlineLvl w:val="7"/>
    </w:pPr>
    <w:rPr>
      <w:rFonts w:cs="Arial"/>
    </w:rPr>
  </w:style>
  <w:style w:type="paragraph" w:customStyle="1" w:styleId="Legal1L9">
    <w:name w:val="Legal1_L9"/>
    <w:basedOn w:val="BodyText0"/>
    <w:uiPriority w:val="49"/>
    <w:qFormat/>
    <w:pPr>
      <w:numPr>
        <w:ilvl w:val="8"/>
        <w:numId w:val="5"/>
      </w:numPr>
      <w:outlineLvl w:val="8"/>
    </w:pPr>
    <w:rPr>
      <w:rFonts w:cs="Arial"/>
    </w:rPr>
  </w:style>
  <w:style w:type="paragraph" w:customStyle="1" w:styleId="Legal1NoL1">
    <w:name w:val="Legal1_No#L1"/>
    <w:basedOn w:val="BodyText0"/>
    <w:uiPriority w:val="29"/>
    <w:qFormat/>
  </w:style>
  <w:style w:type="paragraph" w:customStyle="1" w:styleId="Legal1NoL2">
    <w:name w:val="Legal1_No#L2"/>
    <w:basedOn w:val="BodyText0"/>
    <w:uiPriority w:val="29"/>
    <w:qFormat/>
    <w:pPr>
      <w:ind w:left="567"/>
    </w:pPr>
  </w:style>
  <w:style w:type="paragraph" w:customStyle="1" w:styleId="Legal1NoL3">
    <w:name w:val="Legal1_No#L3"/>
    <w:basedOn w:val="BodyText0"/>
    <w:uiPriority w:val="29"/>
    <w:qFormat/>
    <w:pPr>
      <w:ind w:left="567"/>
    </w:pPr>
    <w:rPr>
      <w:b/>
    </w:rPr>
  </w:style>
  <w:style w:type="paragraph" w:customStyle="1" w:styleId="Legal1NoL4">
    <w:name w:val="Legal1_No#L4"/>
    <w:basedOn w:val="BodyText0"/>
    <w:uiPriority w:val="29"/>
    <w:qFormat/>
    <w:pPr>
      <w:ind w:left="1134"/>
    </w:pPr>
  </w:style>
  <w:style w:type="paragraph" w:customStyle="1" w:styleId="Legal1NoL5">
    <w:name w:val="Legal1_No#L5"/>
    <w:basedOn w:val="BodyText0"/>
    <w:uiPriority w:val="29"/>
    <w:qFormat/>
    <w:pPr>
      <w:ind w:left="1701"/>
    </w:pPr>
  </w:style>
  <w:style w:type="paragraph" w:customStyle="1" w:styleId="Legal1NoL6">
    <w:name w:val="Legal1_No#L6"/>
    <w:basedOn w:val="BodyText0"/>
    <w:uiPriority w:val="29"/>
    <w:qFormat/>
    <w:pPr>
      <w:ind w:left="2268"/>
    </w:pPr>
  </w:style>
  <w:style w:type="paragraph" w:customStyle="1" w:styleId="Legal1NoL7">
    <w:name w:val="Legal1_No#L7"/>
    <w:basedOn w:val="BodyText0"/>
    <w:uiPriority w:val="29"/>
    <w:qFormat/>
    <w:pPr>
      <w:ind w:left="2835"/>
    </w:pPr>
  </w:style>
  <w:style w:type="paragraph" w:customStyle="1" w:styleId="Legal1NoL8">
    <w:name w:val="Legal1_No#L8"/>
    <w:basedOn w:val="BodyText0"/>
    <w:uiPriority w:val="29"/>
    <w:qFormat/>
    <w:pPr>
      <w:ind w:left="3402"/>
    </w:pPr>
  </w:style>
  <w:style w:type="paragraph" w:customStyle="1" w:styleId="Legal1NoL9">
    <w:name w:val="Legal1_No#L9"/>
    <w:basedOn w:val="BodyText0"/>
    <w:uiPriority w:val="29"/>
    <w:qFormat/>
    <w:pPr>
      <w:ind w:left="3969"/>
    </w:pPr>
  </w:style>
  <w:style w:type="numbering" w:customStyle="1" w:styleId="Legal1List">
    <w:name w:val="Legal1. List"/>
    <w:basedOn w:val="NoList"/>
    <w:pPr>
      <w:numPr>
        <w:numId w:val="4"/>
      </w:numPr>
    </w:pPr>
  </w:style>
  <w:style w:type="paragraph" w:customStyle="1" w:styleId="BulletsL1">
    <w:name w:val="Bullets_L1"/>
    <w:basedOn w:val="BodyText0"/>
    <w:uiPriority w:val="49"/>
    <w:qFormat/>
    <w:pPr>
      <w:numPr>
        <w:numId w:val="6"/>
      </w:numPr>
      <w:spacing w:line="240" w:lineRule="auto"/>
    </w:pPr>
    <w:rPr>
      <w:rFonts w:cs="Arial"/>
    </w:rPr>
  </w:style>
  <w:style w:type="paragraph" w:customStyle="1" w:styleId="BulletsL2">
    <w:name w:val="Bullets_L2"/>
    <w:basedOn w:val="BodyText0"/>
    <w:uiPriority w:val="49"/>
    <w:qFormat/>
    <w:pPr>
      <w:numPr>
        <w:ilvl w:val="1"/>
        <w:numId w:val="6"/>
      </w:numPr>
      <w:jc w:val="both"/>
    </w:pPr>
    <w:rPr>
      <w:rFonts w:cs="Arial"/>
    </w:rPr>
  </w:style>
  <w:style w:type="paragraph" w:customStyle="1" w:styleId="BulletsL3">
    <w:name w:val="Bullets_L3"/>
    <w:basedOn w:val="BodyText0"/>
    <w:uiPriority w:val="49"/>
    <w:qFormat/>
    <w:pPr>
      <w:numPr>
        <w:ilvl w:val="2"/>
        <w:numId w:val="6"/>
      </w:numPr>
      <w:jc w:val="both"/>
    </w:pPr>
    <w:rPr>
      <w:rFonts w:cs="Arial"/>
    </w:rPr>
  </w:style>
  <w:style w:type="paragraph" w:customStyle="1" w:styleId="BulletsL4">
    <w:name w:val="Bullets_L4"/>
    <w:basedOn w:val="BodyText0"/>
    <w:uiPriority w:val="49"/>
    <w:qFormat/>
    <w:pPr>
      <w:numPr>
        <w:ilvl w:val="3"/>
        <w:numId w:val="6"/>
      </w:numPr>
      <w:jc w:val="both"/>
    </w:pPr>
    <w:rPr>
      <w:rFonts w:cs="Arial"/>
    </w:rPr>
  </w:style>
  <w:style w:type="paragraph" w:customStyle="1" w:styleId="BulletsL5">
    <w:name w:val="Bullets_L5"/>
    <w:basedOn w:val="BodyText0"/>
    <w:uiPriority w:val="49"/>
    <w:qFormat/>
    <w:pPr>
      <w:numPr>
        <w:ilvl w:val="4"/>
        <w:numId w:val="6"/>
      </w:numPr>
      <w:jc w:val="both"/>
    </w:pPr>
    <w:rPr>
      <w:rFonts w:cs="Arial"/>
    </w:rPr>
  </w:style>
  <w:style w:type="paragraph" w:customStyle="1" w:styleId="BulletsL6">
    <w:name w:val="Bullets_L6"/>
    <w:basedOn w:val="BodyText0"/>
    <w:uiPriority w:val="49"/>
    <w:qFormat/>
    <w:pPr>
      <w:numPr>
        <w:ilvl w:val="5"/>
        <w:numId w:val="6"/>
      </w:numPr>
      <w:jc w:val="both"/>
    </w:pPr>
    <w:rPr>
      <w:rFonts w:cs="Arial"/>
    </w:rPr>
  </w:style>
  <w:style w:type="paragraph" w:customStyle="1" w:styleId="BulletsL7">
    <w:name w:val="Bullets_L7"/>
    <w:basedOn w:val="BodyText0"/>
    <w:uiPriority w:val="49"/>
    <w:qFormat/>
    <w:pPr>
      <w:numPr>
        <w:ilvl w:val="6"/>
        <w:numId w:val="6"/>
      </w:numPr>
      <w:jc w:val="both"/>
    </w:pPr>
    <w:rPr>
      <w:rFonts w:cs="Arial"/>
    </w:rPr>
  </w:style>
  <w:style w:type="paragraph" w:customStyle="1" w:styleId="BulletsL8">
    <w:name w:val="Bullets_L8"/>
    <w:basedOn w:val="BodyText0"/>
    <w:uiPriority w:val="49"/>
    <w:qFormat/>
    <w:pPr>
      <w:numPr>
        <w:ilvl w:val="7"/>
        <w:numId w:val="6"/>
      </w:numPr>
      <w:ind w:hanging="567"/>
      <w:jc w:val="both"/>
    </w:pPr>
    <w:rPr>
      <w:rFonts w:cs="Arial"/>
    </w:rPr>
  </w:style>
  <w:style w:type="paragraph" w:customStyle="1" w:styleId="BulletsL9">
    <w:name w:val="Bullets_L9"/>
    <w:basedOn w:val="BodyText0"/>
    <w:uiPriority w:val="49"/>
    <w:qFormat/>
    <w:pPr>
      <w:numPr>
        <w:ilvl w:val="8"/>
        <w:numId w:val="6"/>
      </w:numPr>
      <w:jc w:val="both"/>
    </w:pPr>
    <w:rPr>
      <w:rFonts w:cs="Arial"/>
    </w:rPr>
  </w:style>
  <w:style w:type="paragraph" w:customStyle="1" w:styleId="BulletsNoL1">
    <w:name w:val="Bullets_No#L1"/>
    <w:basedOn w:val="BodyText0"/>
    <w:uiPriority w:val="29"/>
    <w:qFormat/>
    <w:pPr>
      <w:ind w:left="567"/>
      <w:jc w:val="both"/>
    </w:pPr>
  </w:style>
  <w:style w:type="paragraph" w:customStyle="1" w:styleId="BulletsNoL2">
    <w:name w:val="Bullets_No#L2"/>
    <w:basedOn w:val="BodyText0"/>
    <w:uiPriority w:val="29"/>
    <w:qFormat/>
    <w:pPr>
      <w:ind w:left="1134"/>
      <w:jc w:val="both"/>
    </w:pPr>
  </w:style>
  <w:style w:type="paragraph" w:customStyle="1" w:styleId="BulletsNoL3">
    <w:name w:val="Bullets_No#L3"/>
    <w:basedOn w:val="BodyText0"/>
    <w:uiPriority w:val="29"/>
    <w:qFormat/>
    <w:pPr>
      <w:ind w:left="1701"/>
      <w:jc w:val="both"/>
    </w:pPr>
  </w:style>
  <w:style w:type="paragraph" w:customStyle="1" w:styleId="BulletsNoL4">
    <w:name w:val="Bullets_No#L4"/>
    <w:basedOn w:val="BodyText0"/>
    <w:uiPriority w:val="29"/>
    <w:qFormat/>
    <w:pPr>
      <w:ind w:left="2268"/>
      <w:jc w:val="both"/>
    </w:pPr>
  </w:style>
  <w:style w:type="paragraph" w:customStyle="1" w:styleId="BulletsNoL5">
    <w:name w:val="Bullets_No#L5"/>
    <w:basedOn w:val="BodyText0"/>
    <w:uiPriority w:val="29"/>
    <w:qFormat/>
    <w:pPr>
      <w:ind w:left="2835"/>
      <w:jc w:val="both"/>
    </w:pPr>
  </w:style>
  <w:style w:type="paragraph" w:customStyle="1" w:styleId="BulletsNoL6">
    <w:name w:val="Bullets_No#L6"/>
    <w:basedOn w:val="BodyText0"/>
    <w:uiPriority w:val="29"/>
    <w:qFormat/>
    <w:pPr>
      <w:ind w:left="3402"/>
      <w:jc w:val="both"/>
    </w:pPr>
  </w:style>
  <w:style w:type="paragraph" w:customStyle="1" w:styleId="BulletsNoL7">
    <w:name w:val="Bullets_No#L7"/>
    <w:basedOn w:val="BodyText0"/>
    <w:uiPriority w:val="29"/>
    <w:qFormat/>
    <w:pPr>
      <w:ind w:left="3969"/>
      <w:jc w:val="both"/>
    </w:pPr>
  </w:style>
  <w:style w:type="paragraph" w:customStyle="1" w:styleId="BulletsNoL8">
    <w:name w:val="Bullets_No#L8"/>
    <w:basedOn w:val="BodyText0"/>
    <w:uiPriority w:val="29"/>
    <w:qFormat/>
    <w:pPr>
      <w:ind w:left="4535"/>
      <w:jc w:val="both"/>
    </w:pPr>
  </w:style>
  <w:style w:type="paragraph" w:customStyle="1" w:styleId="BulletsNoL9">
    <w:name w:val="Bullets_No#L9"/>
    <w:basedOn w:val="BodyText0"/>
    <w:uiPriority w:val="29"/>
    <w:qFormat/>
    <w:pPr>
      <w:ind w:left="5102"/>
      <w:jc w:val="both"/>
    </w:pPr>
  </w:style>
  <w:style w:type="numbering" w:customStyle="1" w:styleId="BulletsList">
    <w:name w:val="Bullets. List"/>
    <w:basedOn w:val="NoList"/>
    <w:pPr>
      <w:numPr>
        <w:numId w:val="6"/>
      </w:numPr>
    </w:pPr>
  </w:style>
  <w:style w:type="character" w:customStyle="1" w:styleId="DeltaViewInsertion">
    <w:name w:val="DeltaView Insertion"/>
    <w:uiPriority w:val="29"/>
    <w:qFormat/>
    <w:rPr>
      <w:color w:val="0000FF"/>
      <w:u w:val="double"/>
    </w:rPr>
  </w:style>
  <w:style w:type="character" w:customStyle="1" w:styleId="DeltaViewDeletion">
    <w:name w:val="DeltaView Deletion"/>
    <w:uiPriority w:val="29"/>
    <w:qFormat/>
    <w:rPr>
      <w:strike/>
      <w:color w:val="FF0000"/>
    </w:rPr>
  </w:style>
  <w:style w:type="character" w:customStyle="1" w:styleId="A1">
    <w:name w:val="A1"/>
    <w:uiPriority w:val="29"/>
    <w:qFormat/>
    <w:rPr>
      <w:rFonts w:cs="Avenir LT Com 45 Book"/>
      <w:color w:val="000000"/>
      <w:sz w:val="16"/>
      <w:szCs w:val="16"/>
    </w:rPr>
  </w:style>
  <w:style w:type="paragraph" w:customStyle="1" w:styleId="Default">
    <w:name w:val="Default"/>
    <w:uiPriority w:val="29"/>
    <w:qFormat/>
    <w:pPr>
      <w:autoSpaceDE w:val="0"/>
      <w:autoSpaceDN w:val="0"/>
      <w:adjustRightInd w:val="0"/>
    </w:pPr>
    <w:rPr>
      <w:rFonts w:ascii="Futura PT Book" w:hAnsi="Futura PT Book" w:cs="Futura PT Book"/>
      <w:color w:val="000000"/>
      <w:sz w:val="24"/>
      <w:szCs w:val="24"/>
      <w:lang w:val="en-GB"/>
    </w:rPr>
  </w:style>
  <w:style w:type="character" w:customStyle="1" w:styleId="A6">
    <w:name w:val="A6"/>
    <w:uiPriority w:val="29"/>
    <w:qFormat/>
    <w:rPr>
      <w:rFonts w:cs="Futura PT Book"/>
      <w:color w:val="000000"/>
      <w:sz w:val="16"/>
      <w:szCs w:val="16"/>
    </w:rPr>
  </w:style>
  <w:style w:type="character" w:customStyle="1" w:styleId="EYBodytextwithparaspaceChar">
    <w:name w:val="EY Body text (with para space) Char"/>
    <w:basedOn w:val="DefaultParagraphFont"/>
    <w:link w:val="EYBodytextwithparaspace"/>
    <w:locked/>
    <w:rPr>
      <w:rFonts w:ascii="Arial" w:hAnsi="Arial" w:cs="Arial"/>
      <w:kern w:val="12"/>
      <w:szCs w:val="24"/>
      <w:lang w:val="en-GB" w:eastAsia="en-US"/>
    </w:rPr>
  </w:style>
  <w:style w:type="paragraph" w:customStyle="1" w:styleId="EYBodytextwithparaspace">
    <w:name w:val="EY Body text (with para space)"/>
    <w:basedOn w:val="Normal"/>
    <w:link w:val="EYBodytextwithparaspaceChar"/>
    <w:uiPriority w:val="49"/>
    <w:qFormat/>
    <w:pPr>
      <w:numPr>
        <w:ilvl w:val="1"/>
        <w:numId w:val="15"/>
      </w:numPr>
      <w:suppressAutoHyphens/>
      <w:jc w:val="left"/>
    </w:pPr>
    <w:rPr>
      <w:kern w:val="12"/>
    </w:rPr>
  </w:style>
  <w:style w:type="paragraph" w:customStyle="1" w:styleId="EYHeading1">
    <w:name w:val="EY Heading 1"/>
    <w:basedOn w:val="Normal"/>
    <w:next w:val="EYBodytextwithparaspace"/>
    <w:uiPriority w:val="49"/>
    <w:qFormat/>
    <w:pPr>
      <w:pageBreakBefore/>
      <w:numPr>
        <w:numId w:val="15"/>
      </w:numPr>
      <w:spacing w:after="360"/>
      <w:jc w:val="left"/>
      <w:outlineLvl w:val="0"/>
    </w:pPr>
    <w:rPr>
      <w:b/>
      <w:color w:val="7F7E82"/>
      <w:kern w:val="12"/>
      <w:sz w:val="32"/>
    </w:rPr>
  </w:style>
  <w:style w:type="numbering" w:customStyle="1" w:styleId="ParaNumbering">
    <w:name w:val="ParaNumbering"/>
    <w:pPr>
      <w:numPr>
        <w:numId w:val="15"/>
      </w:numPr>
    </w:pPr>
  </w:style>
  <w:style w:type="paragraph" w:customStyle="1" w:styleId="Schedule1L1">
    <w:name w:val="Schedule1_L1"/>
    <w:basedOn w:val="BodyText0"/>
    <w:next w:val="Schedule1L2"/>
    <w:uiPriority w:val="49"/>
    <w:qFormat/>
    <w:pPr>
      <w:keepNext/>
      <w:pageBreakBefore/>
      <w:numPr>
        <w:numId w:val="17"/>
      </w:numPr>
      <w:jc w:val="center"/>
      <w:outlineLvl w:val="0"/>
    </w:pPr>
    <w:rPr>
      <w:rFonts w:cs="Arial"/>
      <w:b/>
      <w:sz w:val="24"/>
    </w:rPr>
  </w:style>
  <w:style w:type="paragraph" w:customStyle="1" w:styleId="Schedule1L2">
    <w:name w:val="Schedule1_L2"/>
    <w:basedOn w:val="BodyText0"/>
    <w:uiPriority w:val="49"/>
    <w:qFormat/>
    <w:pPr>
      <w:numPr>
        <w:ilvl w:val="1"/>
        <w:numId w:val="17"/>
      </w:numPr>
      <w:jc w:val="both"/>
    </w:pPr>
    <w:rPr>
      <w:rFonts w:cs="Arial"/>
    </w:rPr>
  </w:style>
  <w:style w:type="paragraph" w:customStyle="1" w:styleId="Schedule1L3">
    <w:name w:val="Schedule1_L3"/>
    <w:basedOn w:val="BodyText0"/>
    <w:uiPriority w:val="49"/>
    <w:qFormat/>
    <w:pPr>
      <w:numPr>
        <w:ilvl w:val="2"/>
        <w:numId w:val="17"/>
      </w:numPr>
      <w:jc w:val="both"/>
    </w:pPr>
    <w:rPr>
      <w:rFonts w:cs="Arial"/>
    </w:rPr>
  </w:style>
  <w:style w:type="paragraph" w:customStyle="1" w:styleId="Schedule1L4">
    <w:name w:val="Schedule1_L4"/>
    <w:basedOn w:val="BodyText0"/>
    <w:uiPriority w:val="49"/>
    <w:qFormat/>
    <w:pPr>
      <w:numPr>
        <w:ilvl w:val="3"/>
        <w:numId w:val="17"/>
      </w:numPr>
      <w:jc w:val="both"/>
    </w:pPr>
    <w:rPr>
      <w:rFonts w:cs="Arial"/>
    </w:rPr>
  </w:style>
  <w:style w:type="paragraph" w:customStyle="1" w:styleId="Schedule1L5">
    <w:name w:val="Schedule1_L5"/>
    <w:basedOn w:val="BodyText0"/>
    <w:uiPriority w:val="49"/>
    <w:qFormat/>
    <w:pPr>
      <w:numPr>
        <w:ilvl w:val="4"/>
        <w:numId w:val="17"/>
      </w:numPr>
      <w:jc w:val="both"/>
    </w:pPr>
    <w:rPr>
      <w:rFonts w:cs="Arial"/>
    </w:rPr>
  </w:style>
  <w:style w:type="paragraph" w:customStyle="1" w:styleId="Schedule1L6">
    <w:name w:val="Schedule1_L6"/>
    <w:basedOn w:val="BodyText0"/>
    <w:uiPriority w:val="49"/>
    <w:qFormat/>
    <w:pPr>
      <w:numPr>
        <w:ilvl w:val="5"/>
        <w:numId w:val="17"/>
      </w:numPr>
      <w:jc w:val="both"/>
    </w:pPr>
    <w:rPr>
      <w:rFonts w:cs="Arial"/>
    </w:rPr>
  </w:style>
  <w:style w:type="paragraph" w:customStyle="1" w:styleId="Schedule1L7">
    <w:name w:val="Schedule1_L7"/>
    <w:basedOn w:val="BodyText0"/>
    <w:uiPriority w:val="49"/>
    <w:qFormat/>
    <w:pPr>
      <w:numPr>
        <w:ilvl w:val="6"/>
        <w:numId w:val="17"/>
      </w:numPr>
      <w:jc w:val="both"/>
    </w:pPr>
    <w:rPr>
      <w:rFonts w:cs="Arial"/>
    </w:rPr>
  </w:style>
  <w:style w:type="paragraph" w:customStyle="1" w:styleId="Schedule1L8">
    <w:name w:val="Schedule1_L8"/>
    <w:basedOn w:val="BodyText0"/>
    <w:uiPriority w:val="49"/>
    <w:qFormat/>
    <w:pPr>
      <w:numPr>
        <w:ilvl w:val="7"/>
        <w:numId w:val="17"/>
      </w:numPr>
      <w:jc w:val="both"/>
    </w:pPr>
    <w:rPr>
      <w:rFonts w:cs="Arial"/>
    </w:rPr>
  </w:style>
  <w:style w:type="paragraph" w:customStyle="1" w:styleId="Schedule1L9">
    <w:name w:val="Schedule1_L9"/>
    <w:basedOn w:val="BodyText0"/>
    <w:uiPriority w:val="49"/>
    <w:qFormat/>
    <w:pPr>
      <w:numPr>
        <w:ilvl w:val="8"/>
        <w:numId w:val="17"/>
      </w:numPr>
      <w:jc w:val="both"/>
    </w:pPr>
    <w:rPr>
      <w:rFonts w:cs="Arial"/>
    </w:rPr>
  </w:style>
  <w:style w:type="paragraph" w:customStyle="1" w:styleId="Schedule1NoL1">
    <w:name w:val="Schedule1_No#L1"/>
    <w:basedOn w:val="BodyText0"/>
    <w:uiPriority w:val="29"/>
    <w:qFormat/>
  </w:style>
  <w:style w:type="paragraph" w:customStyle="1" w:styleId="Schedule1NoL2">
    <w:name w:val="Schedule1_No#L2"/>
    <w:basedOn w:val="BodyText0"/>
    <w:uiPriority w:val="29"/>
    <w:qFormat/>
    <w:pPr>
      <w:ind w:left="567"/>
      <w:jc w:val="both"/>
    </w:pPr>
  </w:style>
  <w:style w:type="paragraph" w:customStyle="1" w:styleId="Schedule1NoL3">
    <w:name w:val="Schedule1_No#L3"/>
    <w:basedOn w:val="BodyText0"/>
    <w:uiPriority w:val="29"/>
    <w:qFormat/>
    <w:pPr>
      <w:ind w:left="1134"/>
      <w:jc w:val="both"/>
    </w:pPr>
  </w:style>
  <w:style w:type="paragraph" w:customStyle="1" w:styleId="Schedule1NoL4">
    <w:name w:val="Schedule1_No#L4"/>
    <w:basedOn w:val="BodyText0"/>
    <w:uiPriority w:val="29"/>
    <w:qFormat/>
    <w:pPr>
      <w:ind w:left="1701"/>
      <w:jc w:val="both"/>
    </w:pPr>
  </w:style>
  <w:style w:type="paragraph" w:customStyle="1" w:styleId="Schedule1NoL5">
    <w:name w:val="Schedule1_No#L5"/>
    <w:basedOn w:val="BodyText0"/>
    <w:uiPriority w:val="29"/>
    <w:qFormat/>
    <w:pPr>
      <w:ind w:left="2268"/>
      <w:jc w:val="both"/>
    </w:pPr>
  </w:style>
  <w:style w:type="paragraph" w:customStyle="1" w:styleId="Schedule1NoL6">
    <w:name w:val="Schedule1_No#L6"/>
    <w:basedOn w:val="BodyText0"/>
    <w:uiPriority w:val="29"/>
    <w:qFormat/>
    <w:pPr>
      <w:ind w:left="2835"/>
      <w:jc w:val="both"/>
    </w:pPr>
  </w:style>
  <w:style w:type="paragraph" w:customStyle="1" w:styleId="Schedule1NoL7">
    <w:name w:val="Schedule1_No#L7"/>
    <w:basedOn w:val="BodyText0"/>
    <w:uiPriority w:val="29"/>
    <w:qFormat/>
    <w:pPr>
      <w:ind w:left="3402"/>
      <w:jc w:val="both"/>
    </w:pPr>
  </w:style>
  <w:style w:type="paragraph" w:customStyle="1" w:styleId="Schedule1NoL8">
    <w:name w:val="Schedule1_No#L8"/>
    <w:basedOn w:val="BodyText0"/>
    <w:uiPriority w:val="29"/>
    <w:qFormat/>
    <w:pPr>
      <w:ind w:left="3969"/>
      <w:jc w:val="both"/>
    </w:pPr>
  </w:style>
  <w:style w:type="paragraph" w:customStyle="1" w:styleId="Schedule1NoL9">
    <w:name w:val="Schedule1_No#L9"/>
    <w:basedOn w:val="BodyText0"/>
    <w:uiPriority w:val="29"/>
    <w:qFormat/>
    <w:pPr>
      <w:ind w:left="4535"/>
      <w:jc w:val="both"/>
    </w:pPr>
  </w:style>
  <w:style w:type="numbering" w:customStyle="1" w:styleId="Schedule1List0">
    <w:name w:val="Schedule1. List^"/>
    <w:basedOn w:val="NoList"/>
    <w:pPr>
      <w:numPr>
        <w:numId w:val="17"/>
      </w:numPr>
    </w:pPr>
  </w:style>
  <w:style w:type="paragraph" w:styleId="Revision">
    <w:name w:val="Revision"/>
    <w:hidden/>
    <w:uiPriority w:val="99"/>
    <w:semiHidden/>
    <w:rPr>
      <w:rFonts w:ascii="Arial" w:hAnsi="Arial" w:cs="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2724">
      <w:bodyDiv w:val="1"/>
      <w:marLeft w:val="0"/>
      <w:marRight w:val="0"/>
      <w:marTop w:val="0"/>
      <w:marBottom w:val="0"/>
      <w:divBdr>
        <w:top w:val="none" w:sz="0" w:space="0" w:color="auto"/>
        <w:left w:val="none" w:sz="0" w:space="0" w:color="auto"/>
        <w:bottom w:val="none" w:sz="0" w:space="0" w:color="auto"/>
        <w:right w:val="none" w:sz="0" w:space="0" w:color="auto"/>
      </w:divBdr>
    </w:div>
    <w:div w:id="240525435">
      <w:bodyDiv w:val="1"/>
      <w:marLeft w:val="0"/>
      <w:marRight w:val="0"/>
      <w:marTop w:val="0"/>
      <w:marBottom w:val="0"/>
      <w:divBdr>
        <w:top w:val="none" w:sz="0" w:space="0" w:color="auto"/>
        <w:left w:val="none" w:sz="0" w:space="0" w:color="auto"/>
        <w:bottom w:val="none" w:sz="0" w:space="0" w:color="auto"/>
        <w:right w:val="none" w:sz="0" w:space="0" w:color="auto"/>
      </w:divBdr>
    </w:div>
    <w:div w:id="334840011">
      <w:bodyDiv w:val="1"/>
      <w:marLeft w:val="0"/>
      <w:marRight w:val="0"/>
      <w:marTop w:val="0"/>
      <w:marBottom w:val="0"/>
      <w:divBdr>
        <w:top w:val="none" w:sz="0" w:space="0" w:color="auto"/>
        <w:left w:val="none" w:sz="0" w:space="0" w:color="auto"/>
        <w:bottom w:val="none" w:sz="0" w:space="0" w:color="auto"/>
        <w:right w:val="none" w:sz="0" w:space="0" w:color="auto"/>
      </w:divBdr>
    </w:div>
    <w:div w:id="448397492">
      <w:bodyDiv w:val="1"/>
      <w:marLeft w:val="0"/>
      <w:marRight w:val="0"/>
      <w:marTop w:val="0"/>
      <w:marBottom w:val="0"/>
      <w:divBdr>
        <w:top w:val="none" w:sz="0" w:space="0" w:color="auto"/>
        <w:left w:val="none" w:sz="0" w:space="0" w:color="auto"/>
        <w:bottom w:val="none" w:sz="0" w:space="0" w:color="auto"/>
        <w:right w:val="none" w:sz="0" w:space="0" w:color="auto"/>
      </w:divBdr>
    </w:div>
    <w:div w:id="591008623">
      <w:bodyDiv w:val="1"/>
      <w:marLeft w:val="0"/>
      <w:marRight w:val="0"/>
      <w:marTop w:val="0"/>
      <w:marBottom w:val="0"/>
      <w:divBdr>
        <w:top w:val="none" w:sz="0" w:space="0" w:color="auto"/>
        <w:left w:val="none" w:sz="0" w:space="0" w:color="auto"/>
        <w:bottom w:val="none" w:sz="0" w:space="0" w:color="auto"/>
        <w:right w:val="none" w:sz="0" w:space="0" w:color="auto"/>
      </w:divBdr>
    </w:div>
    <w:div w:id="710812626">
      <w:bodyDiv w:val="1"/>
      <w:marLeft w:val="0"/>
      <w:marRight w:val="0"/>
      <w:marTop w:val="0"/>
      <w:marBottom w:val="0"/>
      <w:divBdr>
        <w:top w:val="none" w:sz="0" w:space="0" w:color="auto"/>
        <w:left w:val="none" w:sz="0" w:space="0" w:color="auto"/>
        <w:bottom w:val="none" w:sz="0" w:space="0" w:color="auto"/>
        <w:right w:val="none" w:sz="0" w:space="0" w:color="auto"/>
      </w:divBdr>
    </w:div>
    <w:div w:id="846165979">
      <w:bodyDiv w:val="1"/>
      <w:marLeft w:val="0"/>
      <w:marRight w:val="0"/>
      <w:marTop w:val="0"/>
      <w:marBottom w:val="0"/>
      <w:divBdr>
        <w:top w:val="none" w:sz="0" w:space="0" w:color="auto"/>
        <w:left w:val="none" w:sz="0" w:space="0" w:color="auto"/>
        <w:bottom w:val="none" w:sz="0" w:space="0" w:color="auto"/>
        <w:right w:val="none" w:sz="0" w:space="0" w:color="auto"/>
      </w:divBdr>
    </w:div>
    <w:div w:id="1315524415">
      <w:bodyDiv w:val="1"/>
      <w:marLeft w:val="0"/>
      <w:marRight w:val="0"/>
      <w:marTop w:val="0"/>
      <w:marBottom w:val="0"/>
      <w:divBdr>
        <w:top w:val="none" w:sz="0" w:space="0" w:color="auto"/>
        <w:left w:val="none" w:sz="0" w:space="0" w:color="auto"/>
        <w:bottom w:val="none" w:sz="0" w:space="0" w:color="auto"/>
        <w:right w:val="none" w:sz="0" w:space="0" w:color="auto"/>
      </w:divBdr>
    </w:div>
    <w:div w:id="1740324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rag.ie/DASIrelandSale" TargetMode="External"/><Relationship Id="rId26" Type="http://schemas.openxmlformats.org/officeDocument/2006/relationships/hyperlink" Target="http://www.das.co.uk/arag-transfer" TargetMode="External"/><Relationship Id="rId39" Type="http://schemas.openxmlformats.org/officeDocument/2006/relationships/hyperlink" Target="http://www.arag.ie/DASIrelandSale" TargetMode="External"/><Relationship Id="rId3" Type="http://schemas.openxmlformats.org/officeDocument/2006/relationships/styles" Target="styles.xml"/><Relationship Id="rId21" Type="http://schemas.openxmlformats.org/officeDocument/2006/relationships/hyperlink" Target="http://www.arag.ie/DASIrelandSale" TargetMode="External"/><Relationship Id="rId34" Type="http://schemas.openxmlformats.org/officeDocument/2006/relationships/hyperlink" Target="http://www.das.co.uk/arag-transfer" TargetMode="External"/><Relationship Id="rId42"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as.co.uk/arag-transfer" TargetMode="External"/><Relationship Id="rId25" Type="http://schemas.openxmlformats.org/officeDocument/2006/relationships/hyperlink" Target="http://www.arag.ie/DASIrelandSale" TargetMode="External"/><Relationship Id="rId33" Type="http://schemas.openxmlformats.org/officeDocument/2006/relationships/hyperlink" Target="http://www.arag.ie/DASIrelandSale" TargetMode="External"/><Relationship Id="rId38" Type="http://schemas.openxmlformats.org/officeDocument/2006/relationships/hyperlink" Target="http://www.das.co.uk/arag-transfe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das.co.uk/arag-transfer" TargetMode="External"/><Relationship Id="rId29" Type="http://schemas.openxmlformats.org/officeDocument/2006/relationships/hyperlink" Target="http://www.arag.ie/DASIrelandSale"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das.co.uk/arag-transfer" TargetMode="External"/><Relationship Id="rId32" Type="http://schemas.openxmlformats.org/officeDocument/2006/relationships/hyperlink" Target="http://www.das.co.uk/arag-transfer" TargetMode="External"/><Relationship Id="rId37" Type="http://schemas.openxmlformats.org/officeDocument/2006/relationships/hyperlink" Target="http://www.arag.ie/DASIrelandSale" TargetMode="External"/><Relationship Id="rId40" Type="http://schemas.openxmlformats.org/officeDocument/2006/relationships/header" Target="header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DASIrelandSale@arag.ie" TargetMode="External"/><Relationship Id="rId28" Type="http://schemas.openxmlformats.org/officeDocument/2006/relationships/hyperlink" Target="http://www.das.co.uk/arag-transfer" TargetMode="External"/><Relationship Id="rId36" Type="http://schemas.openxmlformats.org/officeDocument/2006/relationships/hyperlink" Target="http://www.das.co.uk/arag-transfer" TargetMode="External"/><Relationship Id="rId10" Type="http://schemas.openxmlformats.org/officeDocument/2006/relationships/footer" Target="footer1.xml"/><Relationship Id="rId19" Type="http://schemas.openxmlformats.org/officeDocument/2006/relationships/hyperlink" Target="http://www.arag.com" TargetMode="External"/><Relationship Id="rId31" Type="http://schemas.openxmlformats.org/officeDocument/2006/relationships/hyperlink" Target="mailto:DASIrelandSale@arag.i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customerrelations@das.co.uk" TargetMode="External"/><Relationship Id="rId27" Type="http://schemas.openxmlformats.org/officeDocument/2006/relationships/hyperlink" Target="http://www.arag.ie/DASIrelandSale" TargetMode="External"/><Relationship Id="rId30" Type="http://schemas.openxmlformats.org/officeDocument/2006/relationships/hyperlink" Target="mailto:customerrelations@das.co.uk" TargetMode="External"/><Relationship Id="rId35" Type="http://schemas.openxmlformats.org/officeDocument/2006/relationships/hyperlink" Target="http://www.arag.ie/DASIrelandSale" TargetMode="External"/><Relationship Id="rId43"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E27A2-3F60-47A0-BCE3-953E79CC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3273</Words>
  <Characters>18661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Moore</dc:creator>
  <cp:lastModifiedBy>CCAM</cp:lastModifiedBy>
  <cp:revision>2</cp:revision>
  <dcterms:created xsi:type="dcterms:W3CDTF">2020-04-17T05:53:00Z</dcterms:created>
  <dcterms:modified xsi:type="dcterms:W3CDTF">2020-04-17T05:53:00Z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8e0ee07d-c682-4471-9f29-7d2d1e66fbd7</vt:lpwstr>
  </property>
</Properties>
</file>